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b w:val="0"/>
          <w:bCs/>
          <w:color w:val="auto"/>
          <w:sz w:val="40"/>
          <w:szCs w:val="40"/>
        </w:rPr>
      </w:pPr>
    </w:p>
    <w:p>
      <w:pPr>
        <w:keepNext w:val="0"/>
        <w:keepLines w:val="0"/>
        <w:pageBreakBefore w:val="0"/>
        <w:widowControl w:val="0"/>
        <w:suppressAutoHyphens/>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bCs/>
          <w:color w:val="auto"/>
          <w:sz w:val="44"/>
          <w:szCs w:val="44"/>
        </w:rPr>
      </w:pPr>
      <w:bookmarkStart w:id="0" w:name="_GoBack"/>
      <w:r>
        <w:rPr>
          <w:rFonts w:hint="default" w:ascii="Times New Roman" w:hAnsi="Times New Roman" w:eastAsia="方正小标宋_GBK" w:cs="Times New Roman"/>
          <w:bCs/>
          <w:color w:val="auto"/>
          <w:sz w:val="44"/>
          <w:szCs w:val="44"/>
        </w:rPr>
        <w:t>四川高端引智经费管理办法</w:t>
      </w:r>
    </w:p>
    <w:bookmarkEnd w:id="0"/>
    <w:p>
      <w:pPr>
        <w:suppressAutoHyphens/>
        <w:bidi w:val="0"/>
        <w:spacing w:line="240" w:lineRule="auto"/>
        <w:rPr>
          <w:rFonts w:hint="default" w:ascii="Times New Roman" w:hAnsi="Times New Roman" w:eastAsia="仿宋_GB2312" w:cs="Times New Roman"/>
          <w:color w:val="auto"/>
          <w:sz w:val="31"/>
          <w:szCs w:val="31"/>
        </w:rPr>
      </w:pPr>
    </w:p>
    <w:p>
      <w:pPr>
        <w:keepNext w:val="0"/>
        <w:keepLines w:val="0"/>
        <w:pageBreakBefore w:val="0"/>
        <w:suppressAutoHyphens/>
        <w:kinsoku/>
        <w:wordWrap/>
        <w:overflowPunct/>
        <w:topLinePunct w:val="0"/>
        <w:bidi w:val="0"/>
        <w:snapToGrid/>
        <w:jc w:val="center"/>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第一章  总则</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第一条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为进一步规范和加强四川高端引智经费（以下简称“引智经费”）的使用管理，提高财政资金使用绩效，根据《国家外国专家项目和经费管理办法》（国科发专〔2021〕49号）、《四川省科技计划项目专项资金管理办法》（川财规〔2019〕10号）、《“天府高端引智计划”实施办法》（川科专〔2019〕4号）等文件规定，结合我省实际，制定本办法。</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b/>
          <w:bCs/>
          <w:color w:val="auto"/>
          <w:sz w:val="32"/>
          <w:szCs w:val="32"/>
          <w:lang w:val="en"/>
        </w:rPr>
        <w:t xml:space="preserve"> </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lang w:eastAsia="zh-CN"/>
        </w:rPr>
        <w:t>引智经费是指由四川省科学技术厅（以下简称“科技厅”）在省级科技计划项目专项资金中统筹安排，用于国（境）外高端人才引进、省级引智成果示范推广、省级引才引智基地（平台）建设等引才引智工作的资金。</w:t>
      </w:r>
    </w:p>
    <w:p>
      <w:pPr>
        <w:keepNext w:val="0"/>
        <w:keepLines w:val="0"/>
        <w:pageBreakBefore w:val="0"/>
        <w:suppressAutoHyphens/>
        <w:kinsoku/>
        <w:wordWrap/>
        <w:overflowPunct/>
        <w:topLinePunct w:val="0"/>
        <w:bidi w:val="0"/>
        <w:adjustRightInd w:val="0"/>
        <w:snapToGrid/>
        <w:ind w:firstLine="617" w:firstLineChars="19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第三条  </w:t>
      </w:r>
      <w:r>
        <w:rPr>
          <w:rFonts w:hint="default" w:ascii="Times New Roman" w:hAnsi="Times New Roman" w:eastAsia="仿宋_GB2312" w:cs="Times New Roman"/>
          <w:color w:val="auto"/>
          <w:sz w:val="32"/>
          <w:szCs w:val="32"/>
          <w:lang w:eastAsia="zh-CN"/>
        </w:rPr>
        <w:t>引智经费支持对象是在四川省境内注册或位于四川省境内，具有独立法人资格的科研院所、高等院校、企业、医疗卫生机构及其它具备科研开发和人才服务能力的单位。</w:t>
      </w:r>
    </w:p>
    <w:p>
      <w:pPr>
        <w:keepNext w:val="0"/>
        <w:keepLines w:val="0"/>
        <w:pageBreakBefore w:val="0"/>
        <w:suppressAutoHyphens/>
        <w:kinsoku/>
        <w:wordWrap/>
        <w:overflowPunct/>
        <w:topLinePunct w:val="0"/>
        <w:bidi w:val="0"/>
        <w:adjustRightInd w:val="0"/>
        <w:snapToGrid/>
        <w:ind w:firstLine="617" w:firstLineChars="19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第四条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lang w:eastAsia="zh-CN"/>
        </w:rPr>
        <w:t>引智经费按照“突出重点、合理配置、专款专用、注重实效”的原则管理和使用。</w:t>
      </w:r>
    </w:p>
    <w:p>
      <w:pPr>
        <w:pStyle w:val="2"/>
        <w:rPr>
          <w:rFonts w:hint="default" w:ascii="Times New Roman" w:hAnsi="Times New Roman" w:cs="Times New Roman"/>
          <w:color w:val="auto"/>
          <w:sz w:val="32"/>
          <w:szCs w:val="32"/>
        </w:rPr>
      </w:pPr>
    </w:p>
    <w:p>
      <w:pPr>
        <w:keepNext w:val="0"/>
        <w:keepLines w:val="0"/>
        <w:pageBreakBefore w:val="0"/>
        <w:suppressAutoHyphens/>
        <w:kinsoku/>
        <w:wordWrap/>
        <w:overflowPunct/>
        <w:topLinePunct w:val="0"/>
        <w:bidi w:val="0"/>
        <w:adjustRightInd w:val="0"/>
        <w:snapToGrid/>
        <w:jc w:val="center"/>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第二章  开支范围及标准</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第五条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 xml:space="preserve"> 国（境）外高端人才引进项目资助额度</w:t>
      </w:r>
      <w:r>
        <w:rPr>
          <w:rFonts w:hint="default" w:ascii="Times New Roman" w:hAnsi="Times New Roman" w:eastAsia="仿宋_GB2312" w:cs="Times New Roman"/>
          <w:color w:val="auto"/>
          <w:sz w:val="32"/>
          <w:szCs w:val="32"/>
          <w:lang w:eastAsia="zh-CN"/>
        </w:rPr>
        <w:t>每项每年</w:t>
      </w:r>
      <w:r>
        <w:rPr>
          <w:rFonts w:hint="default" w:ascii="Times New Roman" w:hAnsi="Times New Roman" w:eastAsia="仿宋_GB2312" w:cs="Times New Roman"/>
          <w:color w:val="auto"/>
          <w:sz w:val="32"/>
          <w:szCs w:val="32"/>
        </w:rPr>
        <w:t>不超过80万元，同一项目连续资助不超过5年。开支范围包括：专家交通费、专家工薪、专家咨询费（讲课费）、专家补贴、专家住宿费、人才引进服务费、翻译费和其他费用。</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专家交通费：指国（境）外专家因来川工作产生的在国（境）外出发地（返程地）和中国入（出）境口岸之间的国际机票或其他交通费用，以及在中国境内城市之间或市内因工作需要乘坐交通工具所发生的费用。在可靠、便利、节俭的原则下，根据专家层次、健康状况、工作需要选择交通工具和座位等级。</w:t>
      </w:r>
    </w:p>
    <w:p>
      <w:pPr>
        <w:keepNext w:val="0"/>
        <w:keepLines w:val="0"/>
        <w:pageBreakBefore w:val="0"/>
        <w:suppressAutoHyphens/>
        <w:kinsoku/>
        <w:wordWrap/>
        <w:overflowPunct/>
        <w:topLinePunct w:val="0"/>
        <w:autoSpaceDE w:val="0"/>
        <w:autoSpaceDN w:val="0"/>
        <w:bidi w:val="0"/>
        <w:snapToGrid/>
        <w:ind w:firstLine="632" w:firstLineChars="200"/>
        <w:textAlignment w:val="auto"/>
        <w:rPr>
          <w:rFonts w:hint="default" w:ascii="Times New Roman" w:hAnsi="Times New Roman" w:eastAsia="仿宋_GB2312" w:cs="Times New Roman"/>
          <w:color w:val="auto"/>
          <w:spacing w:val="4"/>
          <w:w w:val="95"/>
          <w:kern w:val="0"/>
          <w:sz w:val="32"/>
          <w:szCs w:val="32"/>
          <w:lang w:val="zh-CN" w:bidi="zh-CN"/>
        </w:rPr>
      </w:pPr>
      <w:r>
        <w:rPr>
          <w:rFonts w:hint="default" w:ascii="Times New Roman" w:hAnsi="Times New Roman" w:eastAsia="仿宋_GB2312" w:cs="Times New Roman"/>
          <w:color w:val="auto"/>
          <w:sz w:val="32"/>
          <w:szCs w:val="32"/>
        </w:rPr>
        <w:t>（二）专家工薪：指项目单位与国（境）外专家通过签订劳动合同（劳务合同）</w:t>
      </w:r>
      <w:r>
        <w:rPr>
          <w:rFonts w:hint="default" w:ascii="Times New Roman" w:hAnsi="Times New Roman" w:eastAsia="仿宋_GB2312" w:cs="Times New Roman"/>
          <w:color w:val="auto"/>
          <w:spacing w:val="4"/>
          <w:w w:val="95"/>
          <w:kern w:val="0"/>
          <w:sz w:val="32"/>
          <w:szCs w:val="32"/>
          <w:lang w:val="zh-CN" w:bidi="zh-CN"/>
        </w:rPr>
        <w:t>或工作协议等方式约定的工作报酬。</w:t>
      </w:r>
      <w:r>
        <w:rPr>
          <w:rFonts w:hint="default" w:ascii="Times New Roman" w:hAnsi="Times New Roman" w:eastAsia="仿宋_GB2312" w:cs="Times New Roman"/>
          <w:color w:val="auto"/>
          <w:sz w:val="32"/>
          <w:szCs w:val="32"/>
        </w:rPr>
        <w:t>以合同或协议</w:t>
      </w:r>
      <w:r>
        <w:rPr>
          <w:rFonts w:hint="default" w:ascii="Times New Roman" w:hAnsi="Times New Roman" w:eastAsia="仿宋_GB2312" w:cs="Times New Roman"/>
          <w:color w:val="auto"/>
          <w:spacing w:val="4"/>
          <w:w w:val="95"/>
          <w:kern w:val="0"/>
          <w:sz w:val="32"/>
          <w:szCs w:val="32"/>
          <w:lang w:val="zh-CN" w:bidi="zh-CN"/>
        </w:rPr>
        <w:t>约定为基础核准支持。对单</w:t>
      </w:r>
      <w:r>
        <w:rPr>
          <w:rFonts w:hint="eastAsia" w:ascii="仿宋_GB2312" w:hAnsi="仿宋_GB2312" w:eastAsia="仿宋_GB2312" w:cs="仿宋_GB2312"/>
          <w:color w:val="auto"/>
          <w:spacing w:val="4"/>
          <w:w w:val="95"/>
          <w:kern w:val="0"/>
          <w:sz w:val="32"/>
          <w:szCs w:val="32"/>
          <w:lang w:val="zh-CN" w:bidi="zh-CN"/>
        </w:rPr>
        <w:t>次来川工作90天以上的国（境）外专家，项目单位须与其签订劳动合同（劳务合同）或工作协议，</w:t>
      </w:r>
      <w:r>
        <w:rPr>
          <w:rFonts w:hint="default" w:ascii="Times New Roman" w:hAnsi="Times New Roman" w:eastAsia="仿宋_GB2312" w:cs="Times New Roman"/>
          <w:color w:val="auto"/>
          <w:spacing w:val="4"/>
          <w:w w:val="95"/>
          <w:kern w:val="0"/>
          <w:sz w:val="32"/>
          <w:szCs w:val="32"/>
          <w:lang w:val="zh-CN" w:bidi="zh-CN"/>
        </w:rPr>
        <w:t>资助其工薪。</w:t>
      </w:r>
    </w:p>
    <w:p>
      <w:pPr>
        <w:keepNext w:val="0"/>
        <w:keepLines w:val="0"/>
        <w:pageBreakBefore w:val="0"/>
        <w:suppressAutoHyphens/>
        <w:kinsoku/>
        <w:wordWrap/>
        <w:overflowPunct/>
        <w:topLinePunct w:val="0"/>
        <w:autoSpaceDE w:val="0"/>
        <w:autoSpaceDN w:val="0"/>
        <w:bidi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（三）专家咨询费（讲课费）：指未与项目单位建立劳动关系的国（境）外</w:t>
      </w:r>
      <w:r>
        <w:rPr>
          <w:rFonts w:hint="default" w:ascii="Times New Roman" w:hAnsi="Times New Roman" w:eastAsia="仿宋_GB2312" w:cs="Times New Roman"/>
          <w:color w:val="auto"/>
          <w:spacing w:val="4"/>
          <w:w w:val="95"/>
          <w:kern w:val="0"/>
          <w:sz w:val="32"/>
          <w:szCs w:val="32"/>
          <w:lang w:val="zh-CN" w:bidi="zh-CN"/>
        </w:rPr>
        <w:t>专家，因从事</w:t>
      </w:r>
      <w:r>
        <w:rPr>
          <w:rFonts w:hint="default" w:ascii="Times New Roman" w:hAnsi="Times New Roman" w:eastAsia="仿宋_GB2312" w:cs="Times New Roman"/>
          <w:color w:val="auto"/>
          <w:sz w:val="32"/>
          <w:szCs w:val="32"/>
        </w:rPr>
        <w:t>咨询、讲座、授课、技术服务等劳务取得的临时报酬。资助上限标准为</w:t>
      </w:r>
      <w:r>
        <w:rPr>
          <w:rFonts w:hint="default" w:ascii="Times New Roman" w:hAnsi="Times New Roman" w:eastAsia="仿宋_GB2312" w:cs="Times New Roman"/>
          <w:color w:val="auto"/>
          <w:sz w:val="32"/>
          <w:szCs w:val="32"/>
          <w:lang w:eastAsia="zh-CN"/>
        </w:rPr>
        <w:t>每人每次</w:t>
      </w:r>
      <w:r>
        <w:rPr>
          <w:rFonts w:hint="default" w:ascii="Times New Roman" w:hAnsi="Times New Roman" w:eastAsia="仿宋_GB2312" w:cs="Times New Roman"/>
          <w:color w:val="auto"/>
          <w:sz w:val="32"/>
          <w:szCs w:val="32"/>
        </w:rPr>
        <w:t>3000元。</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（四）专家补贴：指在项目单位从事短期（连续在川工作90天以内）工作，未签订劳动合同（劳务合同）</w:t>
      </w:r>
      <w:r>
        <w:rPr>
          <w:rFonts w:hint="default" w:ascii="Times New Roman" w:hAnsi="Times New Roman" w:eastAsia="仿宋_GB2312" w:cs="Times New Roman"/>
          <w:color w:val="auto"/>
          <w:spacing w:val="4"/>
          <w:w w:val="95"/>
          <w:kern w:val="0"/>
          <w:sz w:val="32"/>
          <w:szCs w:val="32"/>
          <w:lang w:val="zh-CN" w:bidi="zh-CN"/>
        </w:rPr>
        <w:t>或工作协议</w:t>
      </w:r>
      <w:r>
        <w:rPr>
          <w:rFonts w:hint="default" w:ascii="Times New Roman" w:hAnsi="Times New Roman" w:eastAsia="仿宋_GB2312" w:cs="Times New Roman"/>
          <w:color w:val="auto"/>
          <w:sz w:val="32"/>
          <w:szCs w:val="32"/>
        </w:rPr>
        <w:t>的国（境）外</w:t>
      </w:r>
      <w:r>
        <w:rPr>
          <w:rFonts w:hint="default" w:ascii="Times New Roman" w:hAnsi="Times New Roman" w:eastAsia="仿宋_GB2312" w:cs="Times New Roman"/>
          <w:color w:val="auto"/>
          <w:spacing w:val="4"/>
          <w:w w:val="95"/>
          <w:kern w:val="0"/>
          <w:sz w:val="32"/>
          <w:szCs w:val="32"/>
          <w:lang w:val="zh-CN" w:bidi="zh-CN"/>
        </w:rPr>
        <w:t>专家在川工作期间获取的生活补贴。</w:t>
      </w:r>
      <w:r>
        <w:rPr>
          <w:rFonts w:hint="default" w:ascii="Times New Roman" w:hAnsi="Times New Roman" w:eastAsia="仿宋_GB2312" w:cs="Times New Roman"/>
          <w:color w:val="auto"/>
          <w:sz w:val="32"/>
          <w:szCs w:val="32"/>
        </w:rPr>
        <w:t>资助上限标准为</w:t>
      </w:r>
      <w:r>
        <w:rPr>
          <w:rFonts w:hint="default" w:ascii="Times New Roman" w:hAnsi="Times New Roman" w:eastAsia="仿宋_GB2312" w:cs="Times New Roman"/>
          <w:color w:val="auto"/>
          <w:sz w:val="32"/>
          <w:szCs w:val="32"/>
          <w:lang w:eastAsia="zh-CN"/>
        </w:rPr>
        <w:t>每人每天</w:t>
      </w:r>
      <w:r>
        <w:rPr>
          <w:rFonts w:hint="default" w:ascii="Times New Roman" w:hAnsi="Times New Roman" w:eastAsia="仿宋_GB2312" w:cs="Times New Roman"/>
          <w:color w:val="auto"/>
          <w:sz w:val="32"/>
          <w:szCs w:val="32"/>
        </w:rPr>
        <w:t>1000元,按专家在川执行项目天数发放。</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（五）专家住宿费：指国（境）外专家在川工作期间实际发生的租房（住宿）费用，参照外宾接待相关管理规定执行。</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人才引进服务费：指项目单位通过人力资源服务机构全职引进符合条件的国（境）外专家所发生的服务费。资助额不超过服务费的50%，每家用人单位年度资助上限为30万元。项目申报前一年内成功引进国（境）外专家（来川工作前全职工作单位为国（境）外单位，与我省用人单位签约全职工作年限不少于三年且按时到岗履职依法纳税）的用人单位可以申请。</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（七）翻译费：指国（境）外专家执行项目聘请专业翻译（非项目单位在职员工）发生的翻译费。</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（八）其他费用：指国（境）外专家来川工作期间发生的技术资料费、突出贡献费和外国专家组织项目管理费。该项费用应根据项目指南的规定提出申请。</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（九）专家工薪、专家咨询费（讲课费）、专家补贴只能选择一种方式给予资助，发放应符合国家有关税法规定。专家工薪如已包括专家交通费、专家住宿费或其它相关费用，则不能重复支出。</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第六条</w:t>
      </w:r>
      <w:r>
        <w:rPr>
          <w:rFonts w:hint="default" w:ascii="Times New Roman" w:hAnsi="Times New Roman" w:eastAsia="仿宋_GB2312" w:cs="Times New Roman"/>
          <w:b/>
          <w:bCs/>
          <w:color w:val="auto"/>
          <w:sz w:val="32"/>
          <w:szCs w:val="32"/>
          <w:lang w:val="en"/>
        </w:rPr>
        <w:t xml:space="preserve"> </w:t>
      </w:r>
      <w:r>
        <w:rPr>
          <w:rFonts w:hint="default" w:ascii="Times New Roman" w:hAnsi="Times New Roman" w:eastAsia="仿宋_GB2312" w:cs="Times New Roman"/>
          <w:color w:val="auto"/>
          <w:sz w:val="32"/>
          <w:szCs w:val="32"/>
        </w:rPr>
        <w:t xml:space="preserve"> 省引智成果示范推广项目资助额度</w:t>
      </w:r>
      <w:r>
        <w:rPr>
          <w:rFonts w:hint="default" w:ascii="Times New Roman" w:hAnsi="Times New Roman" w:eastAsia="仿宋_GB2312" w:cs="Times New Roman"/>
          <w:color w:val="auto"/>
          <w:sz w:val="32"/>
          <w:szCs w:val="32"/>
          <w:lang w:eastAsia="zh-CN"/>
        </w:rPr>
        <w:t>每项</w:t>
      </w:r>
      <w:r>
        <w:rPr>
          <w:rFonts w:hint="default" w:ascii="Times New Roman" w:hAnsi="Times New Roman" w:eastAsia="仿宋_GB2312" w:cs="Times New Roman"/>
          <w:color w:val="auto"/>
          <w:sz w:val="32"/>
          <w:szCs w:val="32"/>
        </w:rPr>
        <w:t>不超过80万元。开支范围包括直接费用和间接费用，仅高校、院所、医疗机构牵头或参与并承担再研发任务的项目可开支间接费用。具体开支范围标准按照《四川省科技计划项目专项资金管理办法》有关规定执行。</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第七条</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lang w:val="en"/>
        </w:rPr>
        <w:t xml:space="preserve"> </w:t>
      </w:r>
      <w:r>
        <w:rPr>
          <w:rFonts w:hint="default" w:ascii="Times New Roman" w:hAnsi="Times New Roman" w:eastAsia="仿宋_GB2312" w:cs="Times New Roman"/>
          <w:color w:val="auto"/>
          <w:sz w:val="32"/>
          <w:szCs w:val="32"/>
        </w:rPr>
        <w:t>省级引才引智基地（平台）建设项目资助额度</w:t>
      </w:r>
      <w:r>
        <w:rPr>
          <w:rFonts w:hint="default" w:ascii="Times New Roman" w:hAnsi="Times New Roman" w:eastAsia="仿宋_GB2312" w:cs="Times New Roman"/>
          <w:color w:val="auto"/>
          <w:sz w:val="32"/>
          <w:szCs w:val="32"/>
          <w:lang w:eastAsia="zh-CN"/>
        </w:rPr>
        <w:t>每项</w:t>
      </w:r>
      <w:r>
        <w:rPr>
          <w:rFonts w:hint="default" w:ascii="Times New Roman" w:hAnsi="Times New Roman" w:eastAsia="仿宋_GB2312" w:cs="Times New Roman"/>
          <w:color w:val="auto"/>
          <w:sz w:val="32"/>
          <w:szCs w:val="32"/>
        </w:rPr>
        <w:t>不超过80万元，根据备案基地（平台）考核情况，给予一次性经费支持，用于基地国（境）外高层次人才聚集、引才引智成果培育转化和推广、</w:t>
      </w:r>
      <w:r>
        <w:rPr>
          <w:rFonts w:hint="default" w:ascii="Times New Roman" w:hAnsi="Times New Roman" w:eastAsia="仿宋_GB2312" w:cs="Times New Roman"/>
          <w:color w:val="auto"/>
          <w:sz w:val="32"/>
          <w:szCs w:val="32"/>
          <w:lang w:eastAsia="zh-CN"/>
        </w:rPr>
        <w:t>国（境）外专家</w:t>
      </w:r>
      <w:r>
        <w:rPr>
          <w:rFonts w:hint="default" w:ascii="Times New Roman" w:hAnsi="Times New Roman" w:eastAsia="仿宋_GB2312" w:cs="Times New Roman"/>
          <w:color w:val="auto"/>
          <w:sz w:val="32"/>
          <w:szCs w:val="32"/>
        </w:rPr>
        <w:t>服务政策和体制机制创新。开支范围包括：聘请国（境）外人才费、引智成果示范推广费、</w:t>
      </w:r>
      <w:r>
        <w:rPr>
          <w:rFonts w:hint="default" w:ascii="Times New Roman" w:hAnsi="Times New Roman" w:eastAsia="仿宋_GB2312" w:cs="Times New Roman"/>
          <w:color w:val="auto"/>
          <w:sz w:val="32"/>
          <w:szCs w:val="32"/>
          <w:lang w:eastAsia="zh-CN"/>
        </w:rPr>
        <w:t>国（境）外专家</w:t>
      </w:r>
      <w:r>
        <w:rPr>
          <w:rFonts w:hint="default" w:ascii="Times New Roman" w:hAnsi="Times New Roman" w:eastAsia="仿宋_GB2312" w:cs="Times New Roman"/>
          <w:color w:val="auto"/>
          <w:sz w:val="32"/>
          <w:szCs w:val="32"/>
        </w:rPr>
        <w:t>科研经费、</w:t>
      </w:r>
      <w:r>
        <w:rPr>
          <w:rFonts w:hint="default" w:ascii="Times New Roman" w:hAnsi="Times New Roman" w:eastAsia="仿宋_GB2312" w:cs="Times New Roman"/>
          <w:color w:val="auto"/>
          <w:sz w:val="32"/>
          <w:szCs w:val="32"/>
          <w:lang w:eastAsia="zh-CN"/>
        </w:rPr>
        <w:t>国（境）外专家</w:t>
      </w:r>
      <w:r>
        <w:rPr>
          <w:rFonts w:hint="default" w:ascii="Times New Roman" w:hAnsi="Times New Roman" w:eastAsia="仿宋_GB2312" w:cs="Times New Roman"/>
          <w:color w:val="auto"/>
          <w:sz w:val="32"/>
          <w:szCs w:val="32"/>
        </w:rPr>
        <w:t>服务费、人才智力资源拓展费。</w:t>
      </w:r>
    </w:p>
    <w:p>
      <w:pPr>
        <w:keepNext w:val="0"/>
        <w:keepLines w:val="0"/>
        <w:pageBreakBefore w:val="0"/>
        <w:numPr>
          <w:ilvl w:val="0"/>
          <w:numId w:val="1"/>
        </w:numPr>
        <w:suppressAutoHyphens/>
        <w:kinsoku/>
        <w:wordWrap/>
        <w:overflowPunct/>
        <w:topLinePunct w:val="0"/>
        <w:bidi w:val="0"/>
        <w:adjustRightInd w:val="0"/>
        <w:snapToGrid/>
        <w:ind w:firstLine="632"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聘请国（境）外人才费、引智成</w:t>
      </w:r>
      <w:r>
        <w:rPr>
          <w:rFonts w:hint="eastAsia" w:ascii="仿宋_GB2312" w:hAnsi="仿宋_GB2312" w:eastAsia="仿宋_GB2312" w:cs="仿宋_GB2312"/>
          <w:color w:val="auto"/>
          <w:sz w:val="32"/>
          <w:szCs w:val="32"/>
        </w:rPr>
        <w:t>果示范推广费开支范围按照本办法第五条、第六条执行。</w:t>
      </w:r>
    </w:p>
    <w:p>
      <w:pPr>
        <w:keepNext w:val="0"/>
        <w:keepLines w:val="0"/>
        <w:pageBreakBefore w:val="0"/>
        <w:numPr>
          <w:ilvl w:val="0"/>
          <w:numId w:val="1"/>
        </w:numPr>
        <w:suppressAutoHyphens/>
        <w:kinsoku/>
        <w:wordWrap/>
        <w:overflowPunct/>
        <w:topLinePunct w:val="0"/>
        <w:bidi w:val="0"/>
        <w:adjustRightInd w:val="0"/>
        <w:snapToGrid/>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国（境）外</w:t>
      </w:r>
      <w:r>
        <w:rPr>
          <w:rFonts w:hint="eastAsia" w:ascii="仿宋_GB2312" w:hAnsi="仿宋_GB2312" w:eastAsia="仿宋_GB2312" w:cs="仿宋_GB2312"/>
          <w:color w:val="auto"/>
          <w:sz w:val="32"/>
          <w:szCs w:val="32"/>
        </w:rPr>
        <w:t>专家科研经费：指基地聘请的</w:t>
      </w:r>
      <w:r>
        <w:rPr>
          <w:rFonts w:hint="eastAsia" w:ascii="仿宋_GB2312" w:hAnsi="仿宋_GB2312" w:eastAsia="仿宋_GB2312" w:cs="仿宋_GB2312"/>
          <w:color w:val="auto"/>
          <w:sz w:val="32"/>
          <w:szCs w:val="32"/>
          <w:lang w:eastAsia="zh-CN"/>
        </w:rPr>
        <w:t>国（境）外</w:t>
      </w:r>
      <w:r>
        <w:rPr>
          <w:rFonts w:hint="eastAsia" w:ascii="仿宋_GB2312" w:hAnsi="仿宋_GB2312" w:eastAsia="仿宋_GB2312" w:cs="仿宋_GB2312"/>
          <w:color w:val="auto"/>
          <w:sz w:val="32"/>
          <w:szCs w:val="32"/>
        </w:rPr>
        <w:t>专家开展与科技创新相关的活动支出，具体开支范围标准按照《四川省科技计划项目专项资金管理办法》有关规定执行。</w:t>
      </w:r>
    </w:p>
    <w:p>
      <w:pPr>
        <w:keepNext w:val="0"/>
        <w:keepLines w:val="0"/>
        <w:pageBreakBefore w:val="0"/>
        <w:numPr>
          <w:ilvl w:val="0"/>
          <w:numId w:val="1"/>
        </w:numPr>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国（境）外专家服务费：指基地建设外国专家（人才）之家、外国专家工作站等服务平台，面向在川重点国（境）外专家开展语言培训、文化体验、法律咨询、政策宣介等促进其社会融入的活动支出，包括师资费、资料费、住宿费、伙食费、交通费等。师资费、资料费参照省直机关培训费管理办法相关规定执行，住宿费、伙食费、交通费参照省级单位外宾接待经费管理办法执行。</w:t>
      </w:r>
    </w:p>
    <w:p>
      <w:pPr>
        <w:keepNext w:val="0"/>
        <w:keepLines w:val="0"/>
        <w:pageBreakBefore w:val="0"/>
        <w:numPr>
          <w:ilvl w:val="0"/>
          <w:numId w:val="1"/>
        </w:numPr>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人才智力资源拓展费：指基地开展国（境）外高层次人才和智力成果搜寻，人才资源和智力成果库建设，国（境）外人才智力资源洽谈对接、国（境）外智力成果推介等促进人才智力资源供需精准匹配的经费支出，以会议形式开展活动参照省直机关会议费管理办法执行。</w:t>
      </w:r>
    </w:p>
    <w:p>
      <w:pPr>
        <w:keepNext w:val="0"/>
        <w:keepLines w:val="0"/>
        <w:pageBreakBefore w:val="0"/>
        <w:suppressAutoHyphens/>
        <w:kinsoku/>
        <w:wordWrap/>
        <w:overflowPunct/>
        <w:topLinePunct w:val="0"/>
        <w:bidi w:val="0"/>
        <w:adjustRightInd w:val="0"/>
        <w:snapToGrid/>
        <w:textAlignment w:val="auto"/>
        <w:rPr>
          <w:rFonts w:hint="default" w:ascii="Times New Roman" w:hAnsi="Times New Roman" w:eastAsia="仿宋_GB2312" w:cs="Times New Roman"/>
          <w:color w:val="auto"/>
          <w:sz w:val="32"/>
          <w:szCs w:val="32"/>
        </w:rPr>
      </w:pPr>
    </w:p>
    <w:p>
      <w:pPr>
        <w:keepNext w:val="0"/>
        <w:keepLines w:val="0"/>
        <w:pageBreakBefore w:val="0"/>
        <w:numPr>
          <w:ilvl w:val="0"/>
          <w:numId w:val="2"/>
        </w:numPr>
        <w:suppressAutoHyphens/>
        <w:kinsoku/>
        <w:wordWrap/>
        <w:overflowPunct/>
        <w:topLinePunct w:val="0"/>
        <w:bidi w:val="0"/>
        <w:adjustRightInd w:val="0"/>
        <w:snapToGrid/>
        <w:jc w:val="center"/>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资助方式与执行管理</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第八条 </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引智经费采取前补助和后补助两种支持方式。具体资助方式在项目申报指南中予以明确。</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第九条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 xml:space="preserve"> 前补助项目应按照政策相关性、目标相符性和经济合理性原则，根据资金开支范围确定的支出科目，科学、合理、真实地编制项目预算。</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 xml:space="preserve"> 后补助项目经费不得用于支付各类罚款、捐款、赞助、投资、偿还债务等支出，不得用于编制内在职人员工资性支出和离退休人员离退休费，以及国家规定禁止列支的其他支出。</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 xml:space="preserve">第十一条 </w:t>
      </w:r>
      <w:r>
        <w:rPr>
          <w:rFonts w:hint="default" w:ascii="Times New Roman" w:hAnsi="Times New Roman" w:eastAsia="仿宋_GB2312" w:cs="Times New Roman"/>
          <w:color w:val="auto"/>
          <w:sz w:val="32"/>
          <w:szCs w:val="32"/>
        </w:rPr>
        <w:t xml:space="preserve"> 经批准后的引智经费预算，</w:t>
      </w:r>
      <w:r>
        <w:rPr>
          <w:rFonts w:hint="default" w:ascii="Times New Roman" w:hAnsi="Times New Roman" w:eastAsia="仿宋_GB2312" w:cs="Times New Roman"/>
          <w:color w:val="auto"/>
          <w:sz w:val="32"/>
          <w:szCs w:val="32"/>
          <w:lang w:eastAsia="zh-CN"/>
        </w:rPr>
        <w:t>由科技厅按照国库集中支付制度和项目管理的有关规定下达。</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第十二条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引智经费一经批复下达，各级财政部门不得滞留、截留、挪用。引智经费应当纳入项目单位财务统一管理，实行单独核算，确保专款专用。项目单位应遵循“谁使用、谁负责”的原则，切实履行经费执行主体责任，严格按照规定的开支范围和标准使用经费，不得擅自改变经费的用途，不得以虚报造假等方式套取、冒领经费。</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第十三条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lang w:eastAsia="zh-CN"/>
        </w:rPr>
        <w:t>前补助项目实施期间，年度剩余资金可结转下一年度继续使用。通过验收（审核评价）的项目，结余资金按规定留归项目单位使用，项目承担单位要将结余资金统筹安排用于后续引才引智活动直接支出，优先考虑原项目团队科研引才引智需求，并加强结余资金管理，健全结余资金盘活机制，加快资金使用进度。后补助项目经费由项目单位按照本办法相关条款规定自主安排使用。</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第十四条</w:t>
      </w:r>
      <w:r>
        <w:rPr>
          <w:rFonts w:hint="default" w:ascii="Times New Roman" w:hAnsi="Times New Roman" w:eastAsia="仿宋_GB2312" w:cs="Times New Roman"/>
          <w:b/>
          <w:bCs/>
          <w:color w:val="auto"/>
          <w:sz w:val="32"/>
          <w:szCs w:val="32"/>
          <w:lang w:val="en"/>
        </w:rPr>
        <w:t xml:space="preserve"> </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lang w:eastAsia="zh-CN"/>
        </w:rPr>
        <w:t>国（境）外高端人才项目在执行期间，不得提取管理费，预算总额不得调增。项目经费可按规定的标准，在开支范围中调剂使用。科目间经费调剂应根据项目执行的实际需要进行。</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第十五条</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lang w:val="en"/>
        </w:rPr>
        <w:t xml:space="preserve"> </w:t>
      </w:r>
      <w:r>
        <w:rPr>
          <w:rFonts w:hint="default" w:ascii="Times New Roman" w:hAnsi="Times New Roman" w:eastAsia="仿宋_GB2312" w:cs="Times New Roman"/>
          <w:color w:val="auto"/>
          <w:sz w:val="32"/>
          <w:szCs w:val="32"/>
          <w:lang w:eastAsia="zh-CN"/>
        </w:rPr>
        <w:t>国（境）外高端人才引进项目专家交通费、专家住宿费应有记账凭证及行程单、住宿发票（租房合同和有效票据）等；专家工薪应有记账凭证及合同（协议）、银行转账回执单等；人才引进服务费应有记账凭证及人力资源服务机构与用人单位签署的推荐人才协议和服务费发票等；专家咨询费（讲课费）、专家补贴、翻译费、其他费用应有记账凭证及支付佐证票据。以上材料由项目单位永久留存备查。支付给专家本人的费用，原则上应通过银行转账方式支付</w:t>
      </w:r>
      <w:r>
        <w:rPr>
          <w:rFonts w:hint="default" w:ascii="Times New Roman" w:hAnsi="Times New Roman" w:eastAsia="仿宋_GB2312" w:cs="Times New Roman"/>
          <w:color w:val="auto"/>
          <w:sz w:val="32"/>
          <w:szCs w:val="32"/>
        </w:rPr>
        <w:t>。</w:t>
      </w:r>
    </w:p>
    <w:p>
      <w:pPr>
        <w:keepNext w:val="0"/>
        <w:keepLines w:val="0"/>
        <w:pageBreakBefore w:val="0"/>
        <w:suppressAutoHyphens/>
        <w:kinsoku/>
        <w:wordWrap/>
        <w:overflowPunct/>
        <w:topLinePunct w:val="0"/>
        <w:bidi w:val="0"/>
        <w:adjustRightInd w:val="0"/>
        <w:snapToGrid/>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第十六条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在项目单位海外设立的研发机构等工作，以及提供海外远程咨询指导等服务的国（境）外专家，项目单位可按照相关科研、教学、技术指导等实际工作量进行核算，支付专家工薪或专家咨询费（讲课费）或专家补贴，并可按规定支付项目执行期间发生的翻译费。</w:t>
      </w:r>
    </w:p>
    <w:p>
      <w:pPr>
        <w:keepNext w:val="0"/>
        <w:keepLines w:val="0"/>
        <w:pageBreakBefore w:val="0"/>
        <w:suppressAutoHyphens/>
        <w:kinsoku/>
        <w:wordWrap/>
        <w:overflowPunct/>
        <w:topLinePunct w:val="0"/>
        <w:bidi w:val="0"/>
        <w:adjustRightInd w:val="0"/>
        <w:snapToGrid/>
        <w:textAlignment w:val="auto"/>
        <w:rPr>
          <w:rFonts w:hint="default" w:ascii="Times New Roman" w:hAnsi="Times New Roman" w:eastAsia="仿宋_GB2312" w:cs="Times New Roman"/>
          <w:color w:val="auto"/>
          <w:sz w:val="32"/>
          <w:szCs w:val="32"/>
        </w:rPr>
      </w:pPr>
    </w:p>
    <w:p>
      <w:pPr>
        <w:keepNext w:val="0"/>
        <w:keepLines w:val="0"/>
        <w:pageBreakBefore w:val="0"/>
        <w:suppressAutoHyphens/>
        <w:kinsoku/>
        <w:wordWrap/>
        <w:overflowPunct/>
        <w:topLinePunct w:val="0"/>
        <w:bidi w:val="0"/>
        <w:adjustRightInd w:val="0"/>
        <w:snapToGrid/>
        <w:jc w:val="center"/>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第四章  绩效评价与监督检查</w:t>
      </w:r>
    </w:p>
    <w:p>
      <w:pPr>
        <w:keepNext w:val="0"/>
        <w:keepLines w:val="0"/>
        <w:pageBreakBefore w:val="0"/>
        <w:suppressAutoHyphens/>
        <w:kinsoku/>
        <w:wordWrap/>
        <w:overflowPunct/>
        <w:topLinePunct w:val="0"/>
        <w:bidi w:val="0"/>
        <w:adjustRightInd w:val="0"/>
        <w:snapToGrid/>
        <w:ind w:firstLine="63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 xml:space="preserve">第十七条 </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lang w:eastAsia="zh-CN"/>
        </w:rPr>
        <w:t>前补助项目在项目期满后要及时上报审核评价材料或按照规定组织验收。各级科技和财政主管部门对项目实施情况和资金管理使用情况进行评价和监督检查。评价和检查结果将作为以后年度项目安排的重要参考依据。</w:t>
      </w:r>
    </w:p>
    <w:p>
      <w:pPr>
        <w:keepNext w:val="0"/>
        <w:keepLines w:val="0"/>
        <w:pageBreakBefore w:val="0"/>
        <w:suppressAutoHyphens/>
        <w:kinsoku/>
        <w:wordWrap/>
        <w:overflowPunct/>
        <w:topLinePunct w:val="0"/>
        <w:bidi w:val="0"/>
        <w:adjustRightInd w:val="0"/>
        <w:snapToGrid/>
        <w:ind w:firstLine="63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第十八条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项目单位应严格执行国家和省有关财务规定，切实履行经费执行主体责任，建立健全项目资金内部管理制度和报销规定，明确内部管理权限和审批程序，确保资金使用安全规范有效。</w:t>
      </w:r>
    </w:p>
    <w:p>
      <w:pPr>
        <w:keepNext w:val="0"/>
        <w:keepLines w:val="0"/>
        <w:pageBreakBefore w:val="0"/>
        <w:widowControl/>
        <w:suppressAutoHyphens/>
        <w:kinsoku/>
        <w:wordWrap/>
        <w:overflowPunct/>
        <w:topLinePunct w:val="0"/>
        <w:bidi w:val="0"/>
        <w:adjustRightInd w:val="0"/>
        <w:snapToGrid/>
        <w:ind w:firstLine="63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第十九条</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lang w:eastAsia="zh-CN"/>
        </w:rPr>
        <w:t>引智经费必须专款专用，资金的申报、实施和使用依法接受相关职能部门的监督。对以弄虚作假等手段套骗取资金以及挤占挪用资金等违法违规行为的，按照《财政违法行为处罚处分条例》等法律法规规定处理。涉嫌犯罪的，依法移送司法机关处理。</w:t>
      </w:r>
    </w:p>
    <w:p>
      <w:pPr>
        <w:keepNext w:val="0"/>
        <w:keepLines w:val="0"/>
        <w:pageBreakBefore w:val="0"/>
        <w:widowControl/>
        <w:suppressAutoHyphens/>
        <w:kinsoku/>
        <w:wordWrap/>
        <w:overflowPunct/>
        <w:topLinePunct w:val="0"/>
        <w:bidi w:val="0"/>
        <w:adjustRightInd w:val="0"/>
        <w:snapToGrid/>
        <w:ind w:firstLine="632" w:firstLineChars="20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uppressAutoHyphens/>
        <w:kinsoku/>
        <w:wordWrap/>
        <w:overflowPunct/>
        <w:topLinePunct w:val="0"/>
        <w:bidi w:val="0"/>
        <w:adjustRightInd w:val="0"/>
        <w:snapToGrid/>
        <w:ind w:firstLine="632" w:firstLineChars="20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Cs/>
          <w:color w:val="auto"/>
          <w:sz w:val="32"/>
          <w:szCs w:val="32"/>
        </w:rPr>
        <w:t>第五章 附则</w:t>
      </w:r>
    </w:p>
    <w:p>
      <w:pPr>
        <w:keepNext w:val="0"/>
        <w:keepLines w:val="0"/>
        <w:pageBreakBefore w:val="0"/>
        <w:widowControl/>
        <w:suppressAutoHyphens/>
        <w:kinsoku/>
        <w:wordWrap/>
        <w:overflowPunct/>
        <w:topLinePunct w:val="0"/>
        <w:bidi w:val="0"/>
        <w:adjustRightInd w:val="0"/>
        <w:snapToGrid/>
        <w:ind w:firstLine="632"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sz w:val="32"/>
          <w:szCs w:val="32"/>
        </w:rPr>
        <w:t>第二十条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lang w:eastAsia="zh-CN"/>
        </w:rPr>
        <w:t>本办法由科技厅负责解释。</w:t>
      </w:r>
    </w:p>
    <w:p>
      <w:pPr>
        <w:keepNext w:val="0"/>
        <w:keepLines w:val="0"/>
        <w:pageBreakBefore w:val="0"/>
        <w:suppressAutoHyphens/>
        <w:kinsoku/>
        <w:wordWrap/>
        <w:overflowPunct/>
        <w:topLinePunct w:val="0"/>
        <w:bidi w:val="0"/>
        <w:adjustRightInd w:val="0"/>
        <w:snapToGrid/>
        <w:ind w:firstLine="632"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sz w:val="32"/>
          <w:szCs w:val="32"/>
        </w:rPr>
        <w:t>第二十一条</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sz w:val="32"/>
          <w:szCs w:val="32"/>
          <w:lang w:eastAsia="zh-CN"/>
        </w:rPr>
        <w:t>本办法自2021年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日起施行，有效期</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年。《四川省省级引进国（境）外人才专项经费管理办法》（川人社办发〔2015〕88号）同时废止。</w:t>
      </w:r>
    </w:p>
    <w:p>
      <w:pPr>
        <w:pStyle w:val="2"/>
        <w:rPr>
          <w:rFonts w:hint="default" w:ascii="Times New Roman" w:hAnsi="Times New Roman" w:cs="Times New Roman"/>
          <w:color w:val="auto"/>
          <w:kern w:val="0"/>
          <w:sz w:val="32"/>
          <w:szCs w:val="32"/>
        </w:rPr>
      </w:pPr>
    </w:p>
    <w:p>
      <w:pPr>
        <w:pStyle w:val="3"/>
        <w:rPr>
          <w:rFonts w:hint="default" w:ascii="Times New Roman" w:hAnsi="Times New Roman" w:cs="Times New Roman"/>
        </w:rPr>
      </w:pPr>
    </w:p>
    <w:p>
      <w:pPr>
        <w:pBdr>
          <w:top w:val="single" w:color="auto" w:sz="4" w:space="1"/>
          <w:bottom w:val="single" w:color="auto" w:sz="4" w:space="1"/>
        </w:pBdr>
        <w:spacing w:line="560" w:lineRule="exact"/>
        <w:ind w:firstLine="138" w:firstLineChars="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四川省科学技术厅办公室                    202</w:t>
      </w:r>
      <w:r>
        <w:rPr>
          <w:rFonts w:hint="default" w:ascii="Times New Roman" w:hAnsi="Times New Roman" w:cs="Times New Roman"/>
          <w:sz w:val="28"/>
          <w:szCs w:val="28"/>
          <w:lang w:val="en-US" w:eastAsia="zh-CN"/>
        </w:rPr>
        <w:t>1</w:t>
      </w:r>
      <w:r>
        <w:rPr>
          <w:rFonts w:hint="default" w:ascii="Times New Roman" w:hAnsi="Times New Roman" w:eastAsia="仿宋_GB2312" w:cs="Times New Roman"/>
          <w:sz w:val="28"/>
          <w:szCs w:val="28"/>
        </w:rPr>
        <w:t>年</w:t>
      </w:r>
      <w:r>
        <w:rPr>
          <w:rFonts w:hint="default" w:ascii="Times New Roman" w:hAnsi="Times New Roman" w:cs="Times New Roman"/>
          <w:sz w:val="28"/>
          <w:szCs w:val="28"/>
          <w:lang w:val="en-US" w:eastAsia="zh-CN"/>
        </w:rPr>
        <w:t>10</w:t>
      </w:r>
      <w:r>
        <w:rPr>
          <w:rFonts w:hint="default" w:ascii="Times New Roman" w:hAnsi="Times New Roman" w:eastAsia="仿宋_GB2312" w:cs="Times New Roman"/>
          <w:sz w:val="28"/>
          <w:szCs w:val="28"/>
        </w:rPr>
        <w:t>月</w:t>
      </w:r>
      <w:r>
        <w:rPr>
          <w:rFonts w:hint="default" w:ascii="Times New Roman" w:hAnsi="Times New Roman" w:cs="Times New Roman"/>
          <w:sz w:val="28"/>
          <w:szCs w:val="28"/>
          <w:lang w:val="en" w:eastAsia="zh-CN"/>
        </w:rPr>
        <w:t>25</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2098" w:right="1474" w:bottom="1984" w:left="1587" w:header="851" w:footer="1531"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86"/>
    <w:family w:val="auto"/>
    <w:pitch w:val="default"/>
    <w:sig w:usb0="00000000" w:usb1="00000000" w:usb2="00000010" w:usb3="00000000" w:csb0="00040000" w:csb1="00000000"/>
  </w:font>
  <w:font w:name="等线 Light">
    <w:altName w:val="仿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270"/>
      <w:jc w:val="right"/>
      <w:rPr>
        <w:rFonts w:hint="default" w:ascii="Times New Roman" w:hAnsi="Times New Roman" w:cs="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8"/>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5CB6"/>
    <w:multiLevelType w:val="singleLevel"/>
    <w:tmpl w:val="A9EE5CB6"/>
    <w:lvl w:ilvl="0" w:tentative="0">
      <w:start w:val="3"/>
      <w:numFmt w:val="chineseCounting"/>
      <w:suff w:val="space"/>
      <w:lvlText w:val="第%1章"/>
      <w:lvlJc w:val="left"/>
      <w:rPr>
        <w:rFonts w:hint="eastAsia"/>
      </w:rPr>
    </w:lvl>
  </w:abstractNum>
  <w:abstractNum w:abstractNumId="1">
    <w:nsid w:val="BCD4BDDA"/>
    <w:multiLevelType w:val="singleLevel"/>
    <w:tmpl w:val="BCD4BD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hideSpellingErrors/>
  <w:documentProtection w:enforcement="0"/>
  <w:defaultTabStop w:val="420"/>
  <w:drawingGridHorizontalSpacing w:val="158"/>
  <w:drawingGridVerticalSpacing w:val="290"/>
  <w:displayHorizontalDrawingGridEvery w:val="2"/>
  <w:displayVertic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8169D"/>
    <w:rsid w:val="00082DB2"/>
    <w:rsid w:val="00082E9B"/>
    <w:rsid w:val="0008476B"/>
    <w:rsid w:val="000920E8"/>
    <w:rsid w:val="00092340"/>
    <w:rsid w:val="00092D25"/>
    <w:rsid w:val="000931EF"/>
    <w:rsid w:val="000A0B8B"/>
    <w:rsid w:val="000A1556"/>
    <w:rsid w:val="000A2D5B"/>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7240"/>
    <w:rsid w:val="001C7BFC"/>
    <w:rsid w:val="001E5539"/>
    <w:rsid w:val="001E64A2"/>
    <w:rsid w:val="001E6A12"/>
    <w:rsid w:val="001F0BA5"/>
    <w:rsid w:val="001F4691"/>
    <w:rsid w:val="001F630E"/>
    <w:rsid w:val="001F75E7"/>
    <w:rsid w:val="001F79DC"/>
    <w:rsid w:val="001F7A2D"/>
    <w:rsid w:val="00201718"/>
    <w:rsid w:val="00203EEB"/>
    <w:rsid w:val="00205136"/>
    <w:rsid w:val="002051EC"/>
    <w:rsid w:val="0020566E"/>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280F"/>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076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098C"/>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05E"/>
    <w:rsid w:val="00491AFA"/>
    <w:rsid w:val="00493CE5"/>
    <w:rsid w:val="00496FB6"/>
    <w:rsid w:val="004A15D0"/>
    <w:rsid w:val="004A6A6C"/>
    <w:rsid w:val="004A6E37"/>
    <w:rsid w:val="004A74E0"/>
    <w:rsid w:val="004B0597"/>
    <w:rsid w:val="004B06CE"/>
    <w:rsid w:val="004B0B5C"/>
    <w:rsid w:val="004B1F32"/>
    <w:rsid w:val="004B3518"/>
    <w:rsid w:val="004B4397"/>
    <w:rsid w:val="004B43C9"/>
    <w:rsid w:val="004C0A53"/>
    <w:rsid w:val="004C0E58"/>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20D7"/>
    <w:rsid w:val="00622160"/>
    <w:rsid w:val="006232A7"/>
    <w:rsid w:val="006243F8"/>
    <w:rsid w:val="00624A08"/>
    <w:rsid w:val="00626270"/>
    <w:rsid w:val="00626ADD"/>
    <w:rsid w:val="00636CA1"/>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7DCA"/>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7B93"/>
    <w:rsid w:val="008001B5"/>
    <w:rsid w:val="00802AD9"/>
    <w:rsid w:val="00803FE1"/>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236F"/>
    <w:rsid w:val="008C304E"/>
    <w:rsid w:val="008C3149"/>
    <w:rsid w:val="008C77A4"/>
    <w:rsid w:val="008D2049"/>
    <w:rsid w:val="008D5641"/>
    <w:rsid w:val="008D58D1"/>
    <w:rsid w:val="008D65CD"/>
    <w:rsid w:val="008E133A"/>
    <w:rsid w:val="008E334F"/>
    <w:rsid w:val="008E6B30"/>
    <w:rsid w:val="008F03C7"/>
    <w:rsid w:val="008F22ED"/>
    <w:rsid w:val="008F5EA3"/>
    <w:rsid w:val="00900FF6"/>
    <w:rsid w:val="00901699"/>
    <w:rsid w:val="0090629B"/>
    <w:rsid w:val="00907F15"/>
    <w:rsid w:val="00910EE5"/>
    <w:rsid w:val="009121D2"/>
    <w:rsid w:val="00913984"/>
    <w:rsid w:val="00915844"/>
    <w:rsid w:val="00915F38"/>
    <w:rsid w:val="00917871"/>
    <w:rsid w:val="00920E40"/>
    <w:rsid w:val="009219CF"/>
    <w:rsid w:val="00926197"/>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001C"/>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22DA"/>
    <w:rsid w:val="00B02812"/>
    <w:rsid w:val="00B05C7B"/>
    <w:rsid w:val="00B10430"/>
    <w:rsid w:val="00B13476"/>
    <w:rsid w:val="00B13C85"/>
    <w:rsid w:val="00B16FEB"/>
    <w:rsid w:val="00B20FCE"/>
    <w:rsid w:val="00B210F7"/>
    <w:rsid w:val="00B23A29"/>
    <w:rsid w:val="00B24798"/>
    <w:rsid w:val="00B27FE7"/>
    <w:rsid w:val="00B31175"/>
    <w:rsid w:val="00B364D6"/>
    <w:rsid w:val="00B3700B"/>
    <w:rsid w:val="00B41813"/>
    <w:rsid w:val="00B419C7"/>
    <w:rsid w:val="00B43A88"/>
    <w:rsid w:val="00B43F2B"/>
    <w:rsid w:val="00B45CF7"/>
    <w:rsid w:val="00B466F1"/>
    <w:rsid w:val="00B51A9C"/>
    <w:rsid w:val="00B53B8E"/>
    <w:rsid w:val="00B53D34"/>
    <w:rsid w:val="00B5401C"/>
    <w:rsid w:val="00B54030"/>
    <w:rsid w:val="00B54A2C"/>
    <w:rsid w:val="00B55338"/>
    <w:rsid w:val="00B60578"/>
    <w:rsid w:val="00B60E2D"/>
    <w:rsid w:val="00B64271"/>
    <w:rsid w:val="00B660C8"/>
    <w:rsid w:val="00B67447"/>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609"/>
    <w:rsid w:val="00C60C1A"/>
    <w:rsid w:val="00C61967"/>
    <w:rsid w:val="00C619AC"/>
    <w:rsid w:val="00C62A26"/>
    <w:rsid w:val="00C66475"/>
    <w:rsid w:val="00C718DA"/>
    <w:rsid w:val="00C71D88"/>
    <w:rsid w:val="00C72362"/>
    <w:rsid w:val="00C81745"/>
    <w:rsid w:val="00C834ED"/>
    <w:rsid w:val="00C859CB"/>
    <w:rsid w:val="00C86AD2"/>
    <w:rsid w:val="00C9120A"/>
    <w:rsid w:val="00C91DB4"/>
    <w:rsid w:val="00C9351B"/>
    <w:rsid w:val="00C952A7"/>
    <w:rsid w:val="00CA4D4A"/>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3110"/>
    <w:rsid w:val="00D44D6C"/>
    <w:rsid w:val="00D46A19"/>
    <w:rsid w:val="00D56008"/>
    <w:rsid w:val="00D60D65"/>
    <w:rsid w:val="00D61CDE"/>
    <w:rsid w:val="00D62DAA"/>
    <w:rsid w:val="00D62EB2"/>
    <w:rsid w:val="00D63573"/>
    <w:rsid w:val="00D643E9"/>
    <w:rsid w:val="00D65CEA"/>
    <w:rsid w:val="00D67827"/>
    <w:rsid w:val="00D70F53"/>
    <w:rsid w:val="00D71BD3"/>
    <w:rsid w:val="00D8007A"/>
    <w:rsid w:val="00D818D4"/>
    <w:rsid w:val="00D821A6"/>
    <w:rsid w:val="00D82D6F"/>
    <w:rsid w:val="00D831B6"/>
    <w:rsid w:val="00D85C8C"/>
    <w:rsid w:val="00D86356"/>
    <w:rsid w:val="00D86766"/>
    <w:rsid w:val="00D870F4"/>
    <w:rsid w:val="00D9089B"/>
    <w:rsid w:val="00D93874"/>
    <w:rsid w:val="00D94034"/>
    <w:rsid w:val="00DA08D9"/>
    <w:rsid w:val="00DA2505"/>
    <w:rsid w:val="00DA6956"/>
    <w:rsid w:val="00DB22D2"/>
    <w:rsid w:val="00DB2608"/>
    <w:rsid w:val="00DB74F8"/>
    <w:rsid w:val="00DB7BD9"/>
    <w:rsid w:val="00DC0694"/>
    <w:rsid w:val="00DC35BA"/>
    <w:rsid w:val="00DC483D"/>
    <w:rsid w:val="00DC6614"/>
    <w:rsid w:val="00DD2E75"/>
    <w:rsid w:val="00DD2E76"/>
    <w:rsid w:val="00DD3DC9"/>
    <w:rsid w:val="00DD73B1"/>
    <w:rsid w:val="00DE211A"/>
    <w:rsid w:val="00DE2132"/>
    <w:rsid w:val="00DE6FF8"/>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022F"/>
    <w:rsid w:val="00E41305"/>
    <w:rsid w:val="00E413A4"/>
    <w:rsid w:val="00E44F8D"/>
    <w:rsid w:val="00E5030A"/>
    <w:rsid w:val="00E5132E"/>
    <w:rsid w:val="00E54FCF"/>
    <w:rsid w:val="00E558AB"/>
    <w:rsid w:val="00E62505"/>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1A9"/>
    <w:rsid w:val="00F069F9"/>
    <w:rsid w:val="00F06DF1"/>
    <w:rsid w:val="00F101D9"/>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1DF1BE9"/>
    <w:rsid w:val="121B187F"/>
    <w:rsid w:val="13BC2291"/>
    <w:rsid w:val="15A155C4"/>
    <w:rsid w:val="170E703B"/>
    <w:rsid w:val="189C4529"/>
    <w:rsid w:val="19D24383"/>
    <w:rsid w:val="19EB3CF8"/>
    <w:rsid w:val="1A767E64"/>
    <w:rsid w:val="1B7EF6CB"/>
    <w:rsid w:val="1CCE16F6"/>
    <w:rsid w:val="1DAE77DB"/>
    <w:rsid w:val="1DB51E05"/>
    <w:rsid w:val="1DF75D35"/>
    <w:rsid w:val="1F7EF7C4"/>
    <w:rsid w:val="1FB72A8A"/>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3FF8BB0"/>
    <w:rsid w:val="34B33629"/>
    <w:rsid w:val="358A21E3"/>
    <w:rsid w:val="36304F87"/>
    <w:rsid w:val="3759B7D7"/>
    <w:rsid w:val="376A2452"/>
    <w:rsid w:val="37B696D1"/>
    <w:rsid w:val="38093FA6"/>
    <w:rsid w:val="386530AD"/>
    <w:rsid w:val="3A3522D5"/>
    <w:rsid w:val="3A6962CB"/>
    <w:rsid w:val="3A8478F6"/>
    <w:rsid w:val="3B1403CF"/>
    <w:rsid w:val="3B4D9D3C"/>
    <w:rsid w:val="3B7977E0"/>
    <w:rsid w:val="3B9C69A2"/>
    <w:rsid w:val="3C7630B4"/>
    <w:rsid w:val="3CB93B6F"/>
    <w:rsid w:val="3CC7877E"/>
    <w:rsid w:val="3CF96DD5"/>
    <w:rsid w:val="3DB9B849"/>
    <w:rsid w:val="3DE7778E"/>
    <w:rsid w:val="3DF304ED"/>
    <w:rsid w:val="3E4A7136"/>
    <w:rsid w:val="3F76ED5F"/>
    <w:rsid w:val="3FA94591"/>
    <w:rsid w:val="3FEB397C"/>
    <w:rsid w:val="3FF12FEF"/>
    <w:rsid w:val="4008048B"/>
    <w:rsid w:val="40CB0178"/>
    <w:rsid w:val="40FE2EDC"/>
    <w:rsid w:val="41567072"/>
    <w:rsid w:val="415A7752"/>
    <w:rsid w:val="41CC602E"/>
    <w:rsid w:val="431D5563"/>
    <w:rsid w:val="435F7C95"/>
    <w:rsid w:val="454A527E"/>
    <w:rsid w:val="45503AD6"/>
    <w:rsid w:val="4591262E"/>
    <w:rsid w:val="45D078B5"/>
    <w:rsid w:val="461123C4"/>
    <w:rsid w:val="467C27AD"/>
    <w:rsid w:val="471B1ECF"/>
    <w:rsid w:val="47BC64BE"/>
    <w:rsid w:val="49380B5A"/>
    <w:rsid w:val="494B2553"/>
    <w:rsid w:val="49AA55B3"/>
    <w:rsid w:val="4B3FBD2E"/>
    <w:rsid w:val="4CAB43CE"/>
    <w:rsid w:val="4D020DCF"/>
    <w:rsid w:val="4DA8231B"/>
    <w:rsid w:val="4DBE757E"/>
    <w:rsid w:val="4E152532"/>
    <w:rsid w:val="4E203403"/>
    <w:rsid w:val="4E624327"/>
    <w:rsid w:val="4E6E0C2E"/>
    <w:rsid w:val="5007227E"/>
    <w:rsid w:val="51043206"/>
    <w:rsid w:val="5149518E"/>
    <w:rsid w:val="51B6568A"/>
    <w:rsid w:val="52D3527B"/>
    <w:rsid w:val="531224C9"/>
    <w:rsid w:val="5380363A"/>
    <w:rsid w:val="53B07102"/>
    <w:rsid w:val="54D456D9"/>
    <w:rsid w:val="54F245D2"/>
    <w:rsid w:val="55A67462"/>
    <w:rsid w:val="57EA5B29"/>
    <w:rsid w:val="57FED752"/>
    <w:rsid w:val="58485B82"/>
    <w:rsid w:val="589B46B9"/>
    <w:rsid w:val="5A313B01"/>
    <w:rsid w:val="5A8E7083"/>
    <w:rsid w:val="5AAF543E"/>
    <w:rsid w:val="5B6D5061"/>
    <w:rsid w:val="5BC84B42"/>
    <w:rsid w:val="5BF19918"/>
    <w:rsid w:val="5BF49317"/>
    <w:rsid w:val="5CFF23A1"/>
    <w:rsid w:val="5D0F28D6"/>
    <w:rsid w:val="5DFD4ACA"/>
    <w:rsid w:val="5E8464CC"/>
    <w:rsid w:val="5E8F29EE"/>
    <w:rsid w:val="5EA994C1"/>
    <w:rsid w:val="5EBD24C9"/>
    <w:rsid w:val="5EDDEAD9"/>
    <w:rsid w:val="5EF9003F"/>
    <w:rsid w:val="5EFAC7E6"/>
    <w:rsid w:val="5EFBD055"/>
    <w:rsid w:val="5F150732"/>
    <w:rsid w:val="5F5B76F2"/>
    <w:rsid w:val="5FDFA281"/>
    <w:rsid w:val="5FFF51BC"/>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7BFC8BD"/>
    <w:rsid w:val="68DF2C99"/>
    <w:rsid w:val="6B2861C3"/>
    <w:rsid w:val="6BA12F67"/>
    <w:rsid w:val="6BF27837"/>
    <w:rsid w:val="6CBEA894"/>
    <w:rsid w:val="6D0972F4"/>
    <w:rsid w:val="6D3FA19B"/>
    <w:rsid w:val="6D6D6796"/>
    <w:rsid w:val="6DFBF453"/>
    <w:rsid w:val="6E191187"/>
    <w:rsid w:val="6E6C3185"/>
    <w:rsid w:val="6EFF1416"/>
    <w:rsid w:val="6F2D645E"/>
    <w:rsid w:val="6F603212"/>
    <w:rsid w:val="6FA925DE"/>
    <w:rsid w:val="6FDF1672"/>
    <w:rsid w:val="70E93679"/>
    <w:rsid w:val="7105238E"/>
    <w:rsid w:val="7115709B"/>
    <w:rsid w:val="71911E6D"/>
    <w:rsid w:val="71A7701B"/>
    <w:rsid w:val="72667171"/>
    <w:rsid w:val="738F3E99"/>
    <w:rsid w:val="73C121C4"/>
    <w:rsid w:val="75BC5958"/>
    <w:rsid w:val="76BF1AD7"/>
    <w:rsid w:val="76D5C33D"/>
    <w:rsid w:val="777E5A9A"/>
    <w:rsid w:val="77E7CB3A"/>
    <w:rsid w:val="78825D13"/>
    <w:rsid w:val="78AF3495"/>
    <w:rsid w:val="78DB4E08"/>
    <w:rsid w:val="796206B9"/>
    <w:rsid w:val="7A1B571A"/>
    <w:rsid w:val="7AD62E87"/>
    <w:rsid w:val="7B4F4CC6"/>
    <w:rsid w:val="7BBF61B8"/>
    <w:rsid w:val="7C6B2FB2"/>
    <w:rsid w:val="7CA82D31"/>
    <w:rsid w:val="7CC391A8"/>
    <w:rsid w:val="7CD23236"/>
    <w:rsid w:val="7CD32DA8"/>
    <w:rsid w:val="7CEF8E06"/>
    <w:rsid w:val="7D4E1912"/>
    <w:rsid w:val="7D54A830"/>
    <w:rsid w:val="7DB41F2E"/>
    <w:rsid w:val="7DDFA32B"/>
    <w:rsid w:val="7DFB3603"/>
    <w:rsid w:val="7DFD31F1"/>
    <w:rsid w:val="7DFD3F5E"/>
    <w:rsid w:val="7DFE8DA0"/>
    <w:rsid w:val="7DFF66F3"/>
    <w:rsid w:val="7E7344C6"/>
    <w:rsid w:val="7EEF3234"/>
    <w:rsid w:val="7EEF5332"/>
    <w:rsid w:val="7F76591D"/>
    <w:rsid w:val="7F9FDBD1"/>
    <w:rsid w:val="7FB67572"/>
    <w:rsid w:val="7FB7419D"/>
    <w:rsid w:val="7FD34391"/>
    <w:rsid w:val="7FD59670"/>
    <w:rsid w:val="7FDF4615"/>
    <w:rsid w:val="7FF38BC2"/>
    <w:rsid w:val="7FF7D270"/>
    <w:rsid w:val="7FFF6B89"/>
    <w:rsid w:val="96B63D53"/>
    <w:rsid w:val="9D7E5CB8"/>
    <w:rsid w:val="9FDF70BB"/>
    <w:rsid w:val="A5E98D2C"/>
    <w:rsid w:val="AFEF43A6"/>
    <w:rsid w:val="BA7D2D6D"/>
    <w:rsid w:val="BABE417E"/>
    <w:rsid w:val="BBCF6B31"/>
    <w:rsid w:val="BE7FFC3E"/>
    <w:rsid w:val="BF47BC96"/>
    <w:rsid w:val="BFA55C3C"/>
    <w:rsid w:val="BFFEA2FA"/>
    <w:rsid w:val="CD3384CA"/>
    <w:rsid w:val="CDEDC0F7"/>
    <w:rsid w:val="CEF3B10E"/>
    <w:rsid w:val="CFFE9EEA"/>
    <w:rsid w:val="D3B7F357"/>
    <w:rsid w:val="D7B7E2AB"/>
    <w:rsid w:val="D9BD9156"/>
    <w:rsid w:val="DAB18C57"/>
    <w:rsid w:val="DD7E38DA"/>
    <w:rsid w:val="DEC75E16"/>
    <w:rsid w:val="DF7E5720"/>
    <w:rsid w:val="DFAEA939"/>
    <w:rsid w:val="DFB95610"/>
    <w:rsid w:val="DFBF3109"/>
    <w:rsid w:val="DFE72287"/>
    <w:rsid w:val="E4E74005"/>
    <w:rsid w:val="E58DC6E0"/>
    <w:rsid w:val="E6FE49B4"/>
    <w:rsid w:val="E8F7C381"/>
    <w:rsid w:val="E9F793BE"/>
    <w:rsid w:val="EC7EFDC2"/>
    <w:rsid w:val="ECE581F4"/>
    <w:rsid w:val="ED7BABE2"/>
    <w:rsid w:val="EFB1E3BF"/>
    <w:rsid w:val="EFDE8178"/>
    <w:rsid w:val="F2BFECBB"/>
    <w:rsid w:val="F35F912E"/>
    <w:rsid w:val="F3A625EB"/>
    <w:rsid w:val="F3AFAF99"/>
    <w:rsid w:val="F3FCF68F"/>
    <w:rsid w:val="F5BF25CE"/>
    <w:rsid w:val="F5BFBD58"/>
    <w:rsid w:val="F6664FFA"/>
    <w:rsid w:val="F66E1AA3"/>
    <w:rsid w:val="F6DB548B"/>
    <w:rsid w:val="F76EFF2E"/>
    <w:rsid w:val="F9FD5461"/>
    <w:rsid w:val="FAADDD13"/>
    <w:rsid w:val="FAB75FD7"/>
    <w:rsid w:val="FAF59BB5"/>
    <w:rsid w:val="FB3F736F"/>
    <w:rsid w:val="FBD09AE4"/>
    <w:rsid w:val="FBEF01DD"/>
    <w:rsid w:val="FBF74CCE"/>
    <w:rsid w:val="FC96D70C"/>
    <w:rsid w:val="FDFF6C65"/>
    <w:rsid w:val="FE7EDA0E"/>
    <w:rsid w:val="FEB992F6"/>
    <w:rsid w:val="FEBEAA1C"/>
    <w:rsid w:val="FF3F71B3"/>
    <w:rsid w:val="FF74C860"/>
    <w:rsid w:val="FF77DB86"/>
    <w:rsid w:val="FFADD4E1"/>
    <w:rsid w:val="FFB127DF"/>
    <w:rsid w:val="FFBF9213"/>
    <w:rsid w:val="FFCE3819"/>
    <w:rsid w:val="FFDC69ED"/>
    <w:rsid w:val="FFDFD76A"/>
    <w:rsid w:val="FFFD1F28"/>
    <w:rsid w:val="FFFEAAD0"/>
    <w:rsid w:val="FFFF69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3"/>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1"/>
    <w:basedOn w:val="1"/>
    <w:next w:val="1"/>
    <w:link w:val="40"/>
    <w:qFormat/>
    <w:locked/>
    <w:uiPriority w:val="0"/>
    <w:pPr>
      <w:spacing w:beforeAutospacing="1" w:afterAutospacing="1"/>
      <w:jc w:val="left"/>
      <w:outlineLvl w:val="0"/>
    </w:pPr>
    <w:rPr>
      <w:rFonts w:ascii="宋体" w:hAnsi="宋体"/>
      <w:b/>
      <w:kern w:val="44"/>
      <w:sz w:val="48"/>
      <w:szCs w:val="48"/>
    </w:rPr>
  </w:style>
  <w:style w:type="paragraph" w:styleId="5">
    <w:name w:val="heading 2"/>
    <w:basedOn w:val="1"/>
    <w:next w:val="1"/>
    <w:link w:val="41"/>
    <w:qFormat/>
    <w:locked/>
    <w:uiPriority w:val="99"/>
    <w:pPr>
      <w:keepNext/>
      <w:widowControl/>
      <w:spacing w:line="595" w:lineRule="exact"/>
      <w:ind w:firstLine="200" w:firstLineChars="200"/>
      <w:jc w:val="left"/>
      <w:outlineLvl w:val="1"/>
    </w:pPr>
    <w:rPr>
      <w:rFonts w:ascii="Cambria" w:hAnsi="Cambria" w:eastAsia="黑体"/>
      <w:bCs/>
      <w:iCs/>
      <w:kern w:val="0"/>
      <w:szCs w:val="28"/>
    </w:rPr>
  </w:style>
  <w:style w:type="paragraph" w:styleId="6">
    <w:name w:val="heading 3"/>
    <w:basedOn w:val="1"/>
    <w:next w:val="1"/>
    <w:link w:val="42"/>
    <w:qFormat/>
    <w:locked/>
    <w:uiPriority w:val="99"/>
    <w:pPr>
      <w:keepNext/>
      <w:widowControl/>
      <w:spacing w:line="595" w:lineRule="exact"/>
      <w:ind w:firstLine="200" w:firstLineChars="200"/>
      <w:jc w:val="left"/>
      <w:outlineLvl w:val="2"/>
    </w:pPr>
    <w:rPr>
      <w:rFonts w:ascii="Cambria" w:hAnsi="Cambria" w:eastAsia="楷体_GB2312"/>
      <w:b/>
      <w:kern w:val="0"/>
      <w:szCs w:val="26"/>
    </w:rPr>
  </w:style>
  <w:style w:type="paragraph" w:styleId="7">
    <w:name w:val="heading 4"/>
    <w:basedOn w:val="1"/>
    <w:next w:val="1"/>
    <w:link w:val="43"/>
    <w:qFormat/>
    <w:locked/>
    <w:uiPriority w:val="99"/>
    <w:pPr>
      <w:keepNext/>
      <w:keepLines/>
      <w:spacing w:line="372" w:lineRule="auto"/>
      <w:outlineLvl w:val="3"/>
    </w:pPr>
    <w:rPr>
      <w:rFonts w:ascii="Arial" w:hAnsi="Arial" w:eastAsia="黑体"/>
      <w:b/>
      <w:sz w:val="28"/>
    </w:rPr>
  </w:style>
  <w:style w:type="paragraph" w:styleId="8">
    <w:name w:val="heading 5"/>
    <w:basedOn w:val="1"/>
    <w:next w:val="1"/>
    <w:link w:val="44"/>
    <w:qFormat/>
    <w:locked/>
    <w:uiPriority w:val="99"/>
    <w:pPr>
      <w:keepNext/>
      <w:keepLines/>
      <w:spacing w:line="372" w:lineRule="auto"/>
      <w:outlineLvl w:val="4"/>
    </w:pPr>
    <w:rPr>
      <w:b/>
      <w:sz w:val="28"/>
    </w:rPr>
  </w:style>
  <w:style w:type="paragraph" w:styleId="9">
    <w:name w:val="heading 6"/>
    <w:basedOn w:val="1"/>
    <w:next w:val="1"/>
    <w:link w:val="45"/>
    <w:qFormat/>
    <w:locked/>
    <w:uiPriority w:val="99"/>
    <w:pPr>
      <w:keepNext/>
      <w:keepLines/>
      <w:spacing w:line="317" w:lineRule="auto"/>
      <w:outlineLvl w:val="5"/>
    </w:pPr>
    <w:rPr>
      <w:rFonts w:ascii="Arial" w:hAnsi="Arial" w:eastAsia="黑体"/>
      <w:b/>
      <w:sz w:val="24"/>
    </w:rPr>
  </w:style>
  <w:style w:type="paragraph" w:styleId="10">
    <w:name w:val="heading 7"/>
    <w:basedOn w:val="1"/>
    <w:next w:val="1"/>
    <w:link w:val="46"/>
    <w:qFormat/>
    <w:locked/>
    <w:uiPriority w:val="99"/>
    <w:pPr>
      <w:keepNext/>
      <w:keepLines/>
      <w:spacing w:line="317" w:lineRule="auto"/>
      <w:outlineLvl w:val="6"/>
    </w:pPr>
    <w:rPr>
      <w:b/>
      <w:sz w:val="24"/>
    </w:rPr>
  </w:style>
  <w:style w:type="paragraph" w:styleId="11">
    <w:name w:val="heading 8"/>
    <w:basedOn w:val="1"/>
    <w:next w:val="1"/>
    <w:link w:val="47"/>
    <w:qFormat/>
    <w:locked/>
    <w:uiPriority w:val="99"/>
    <w:pPr>
      <w:keepNext/>
      <w:keepLines/>
      <w:spacing w:line="317" w:lineRule="auto"/>
      <w:outlineLvl w:val="7"/>
    </w:pPr>
    <w:rPr>
      <w:rFonts w:ascii="Arial" w:hAnsi="Arial" w:eastAsia="黑体"/>
      <w:sz w:val="24"/>
    </w:rPr>
  </w:style>
  <w:style w:type="paragraph" w:styleId="12">
    <w:name w:val="heading 9"/>
    <w:basedOn w:val="1"/>
    <w:next w:val="1"/>
    <w:link w:val="48"/>
    <w:qFormat/>
    <w:locked/>
    <w:uiPriority w:val="99"/>
    <w:pPr>
      <w:keepNext/>
      <w:keepLines/>
      <w:spacing w:line="317"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7"/>
    <w:semiHidden/>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13">
    <w:name w:val="Document Map"/>
    <w:basedOn w:val="1"/>
    <w:link w:val="75"/>
    <w:semiHidden/>
    <w:qFormat/>
    <w:uiPriority w:val="99"/>
    <w:rPr>
      <w:rFonts w:ascii="宋体"/>
      <w:sz w:val="18"/>
      <w:szCs w:val="18"/>
    </w:rPr>
  </w:style>
  <w:style w:type="paragraph" w:styleId="14">
    <w:name w:val="annotation text"/>
    <w:basedOn w:val="1"/>
    <w:link w:val="49"/>
    <w:qFormat/>
    <w:uiPriority w:val="99"/>
    <w:pPr>
      <w:jc w:val="left"/>
    </w:pPr>
  </w:style>
  <w:style w:type="paragraph" w:styleId="15">
    <w:name w:val="Date"/>
    <w:basedOn w:val="1"/>
    <w:next w:val="1"/>
    <w:link w:val="76"/>
    <w:semiHidden/>
    <w:unhideWhenUsed/>
    <w:qFormat/>
    <w:uiPriority w:val="99"/>
    <w:pPr>
      <w:ind w:left="100" w:leftChars="2500"/>
    </w:pPr>
  </w:style>
  <w:style w:type="paragraph" w:styleId="16">
    <w:name w:val="Body Text Indent 2"/>
    <w:basedOn w:val="1"/>
    <w:link w:val="50"/>
    <w:qFormat/>
    <w:uiPriority w:val="99"/>
    <w:pPr>
      <w:widowControl/>
      <w:spacing w:before="100" w:beforeAutospacing="1" w:after="100" w:afterAutospacing="1"/>
      <w:jc w:val="left"/>
    </w:pPr>
    <w:rPr>
      <w:rFonts w:ascii="宋体" w:hAnsi="宋体"/>
      <w:kern w:val="0"/>
      <w:sz w:val="24"/>
      <w:szCs w:val="24"/>
    </w:rPr>
  </w:style>
  <w:style w:type="paragraph" w:styleId="17">
    <w:name w:val="Balloon Text"/>
    <w:basedOn w:val="1"/>
    <w:link w:val="51"/>
    <w:semiHidden/>
    <w:qFormat/>
    <w:uiPriority w:val="99"/>
    <w:rPr>
      <w:sz w:val="18"/>
      <w:szCs w:val="18"/>
    </w:rPr>
  </w:style>
  <w:style w:type="paragraph" w:styleId="18">
    <w:name w:val="footer"/>
    <w:basedOn w:val="1"/>
    <w:link w:val="52"/>
    <w:qFormat/>
    <w:uiPriority w:val="99"/>
    <w:pPr>
      <w:tabs>
        <w:tab w:val="center" w:pos="4153"/>
        <w:tab w:val="right" w:pos="8306"/>
      </w:tabs>
      <w:snapToGrid w:val="0"/>
      <w:jc w:val="left"/>
    </w:pPr>
    <w:rPr>
      <w:sz w:val="18"/>
    </w:rPr>
  </w:style>
  <w:style w:type="paragraph" w:styleId="19">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widowControl/>
      <w:spacing w:after="100" w:line="276" w:lineRule="auto"/>
      <w:jc w:val="left"/>
    </w:pPr>
    <w:rPr>
      <w:rFonts w:ascii="Calibri" w:hAnsi="Calibri"/>
      <w:kern w:val="0"/>
      <w:sz w:val="22"/>
      <w:szCs w:val="22"/>
    </w:rPr>
  </w:style>
  <w:style w:type="paragraph" w:styleId="21">
    <w:name w:val="Subtitle"/>
    <w:basedOn w:val="1"/>
    <w:link w:val="56"/>
    <w:qFormat/>
    <w:locked/>
    <w:uiPriority w:val="99"/>
    <w:pPr>
      <w:spacing w:line="312" w:lineRule="auto"/>
      <w:jc w:val="center"/>
      <w:outlineLvl w:val="1"/>
    </w:pPr>
    <w:rPr>
      <w:rFonts w:ascii="Arial" w:hAnsi="Arial"/>
      <w:b/>
      <w:kern w:val="28"/>
    </w:rPr>
  </w:style>
  <w:style w:type="paragraph" w:styleId="22">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3">
    <w:name w:val="HTML Preformatted"/>
    <w:basedOn w:val="1"/>
    <w:link w:val="12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4">
    <w:name w:val="Normal (Web)"/>
    <w:basedOn w:val="1"/>
    <w:qFormat/>
    <w:uiPriority w:val="99"/>
    <w:pPr>
      <w:widowControl/>
      <w:spacing w:line="360" w:lineRule="auto"/>
      <w:ind w:firstLine="200" w:firstLineChars="200"/>
      <w:jc w:val="left"/>
    </w:pPr>
    <w:rPr>
      <w:rFonts w:eastAsia="仿宋_GB2312"/>
      <w:kern w:val="0"/>
      <w:sz w:val="24"/>
      <w:szCs w:val="24"/>
    </w:rPr>
  </w:style>
  <w:style w:type="paragraph" w:styleId="25">
    <w:name w:val="Title"/>
    <w:basedOn w:val="1"/>
    <w:link w:val="57"/>
    <w:qFormat/>
    <w:locked/>
    <w:uiPriority w:val="99"/>
    <w:pPr>
      <w:adjustRightInd w:val="0"/>
      <w:snapToGrid w:val="0"/>
      <w:spacing w:line="560" w:lineRule="exact"/>
      <w:jc w:val="center"/>
      <w:outlineLvl w:val="0"/>
    </w:pPr>
    <w:rPr>
      <w:rFonts w:ascii="方正小标宋_GBK" w:hAnsi="Arial" w:eastAsia="方正小标宋_GBK"/>
      <w:sz w:val="44"/>
    </w:rPr>
  </w:style>
  <w:style w:type="paragraph" w:styleId="26">
    <w:name w:val="annotation subject"/>
    <w:basedOn w:val="14"/>
    <w:next w:val="14"/>
    <w:link w:val="58"/>
    <w:semiHidden/>
    <w:qFormat/>
    <w:uiPriority w:val="99"/>
    <w:rPr>
      <w:b/>
    </w:rPr>
  </w:style>
  <w:style w:type="paragraph" w:styleId="27">
    <w:name w:val="Body Text First Indent"/>
    <w:basedOn w:val="2"/>
    <w:qFormat/>
    <w:uiPriority w:val="0"/>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b/>
      <w:bCs/>
    </w:rPr>
  </w:style>
  <w:style w:type="character" w:styleId="32">
    <w:name w:val="page number"/>
    <w:basedOn w:val="30"/>
    <w:semiHidden/>
    <w:qFormat/>
    <w:uiPriority w:val="99"/>
    <w:rPr>
      <w:rFonts w:cs="Times New Roman"/>
    </w:rPr>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99"/>
    <w:rPr>
      <w:rFonts w:cs="Times New Roman"/>
    </w:rPr>
  </w:style>
  <w:style w:type="character" w:styleId="35">
    <w:name w:val="Hyperlink"/>
    <w:basedOn w:val="30"/>
    <w:qFormat/>
    <w:uiPriority w:val="99"/>
    <w:rPr>
      <w:rFonts w:cs="Times New Roman"/>
      <w:color w:val="0000FF"/>
      <w:u w:val="single"/>
    </w:rPr>
  </w:style>
  <w:style w:type="character" w:styleId="36">
    <w:name w:val="annotation reference"/>
    <w:semiHidden/>
    <w:unhideWhenUsed/>
    <w:qFormat/>
    <w:uiPriority w:val="99"/>
    <w:rPr>
      <w:sz w:val="21"/>
      <w:szCs w:val="21"/>
    </w:rPr>
  </w:style>
  <w:style w:type="paragraph" w:customStyle="1" w:styleId="37">
    <w:name w:val="BodyText1I"/>
    <w:basedOn w:val="38"/>
    <w:qFormat/>
    <w:uiPriority w:val="0"/>
    <w:pPr>
      <w:ind w:firstLine="420" w:firstLineChars="100"/>
      <w:jc w:val="both"/>
      <w:textAlignment w:val="baseline"/>
    </w:pPr>
  </w:style>
  <w:style w:type="paragraph" w:customStyle="1" w:styleId="38">
    <w:name w:val="BodyText"/>
    <w:basedOn w:val="1"/>
    <w:next w:val="39"/>
    <w:qFormat/>
    <w:uiPriority w:val="0"/>
    <w:pPr>
      <w:jc w:val="both"/>
      <w:textAlignment w:val="baseline"/>
    </w:pPr>
    <w:rPr>
      <w:rFonts w:ascii="Calibri" w:hAnsi="Calibri" w:eastAsia="仿宋_GB2312"/>
      <w:kern w:val="2"/>
      <w:sz w:val="30"/>
      <w:szCs w:val="22"/>
      <w:lang w:val="en-US" w:eastAsia="zh-CN" w:bidi="ar-SA"/>
    </w:rPr>
  </w:style>
  <w:style w:type="paragraph" w:customStyle="1" w:styleId="39">
    <w:name w:val="UserStyle_0"/>
    <w:basedOn w:val="1"/>
    <w:qFormat/>
    <w:uiPriority w:val="0"/>
    <w:pPr>
      <w:jc w:val="left"/>
      <w:textAlignment w:val="baseline"/>
    </w:pPr>
    <w:rPr>
      <w:rFonts w:ascii="仿宋_GB2312" w:hAnsi="Calibri" w:eastAsia="仿宋_GB2312"/>
      <w:color w:val="000000"/>
      <w:kern w:val="0"/>
      <w:sz w:val="24"/>
      <w:szCs w:val="22"/>
      <w:lang w:val="en-US" w:eastAsia="zh-CN" w:bidi="ar-SA"/>
    </w:rPr>
  </w:style>
  <w:style w:type="character" w:customStyle="1" w:styleId="40">
    <w:name w:val="标题 1 Char"/>
    <w:basedOn w:val="30"/>
    <w:link w:val="4"/>
    <w:qFormat/>
    <w:locked/>
    <w:uiPriority w:val="0"/>
    <w:rPr>
      <w:rFonts w:ascii="宋体" w:eastAsia="宋体" w:cs="Times New Roman"/>
      <w:b/>
      <w:kern w:val="44"/>
      <w:sz w:val="48"/>
      <w:szCs w:val="48"/>
    </w:rPr>
  </w:style>
  <w:style w:type="character" w:customStyle="1" w:styleId="41">
    <w:name w:val="标题 2 Char"/>
    <w:basedOn w:val="30"/>
    <w:link w:val="5"/>
    <w:qFormat/>
    <w:locked/>
    <w:uiPriority w:val="99"/>
    <w:rPr>
      <w:rFonts w:ascii="Cambria" w:hAnsi="Cambria" w:eastAsia="黑体" w:cs="Times New Roman"/>
      <w:bCs/>
      <w:iCs/>
      <w:sz w:val="28"/>
      <w:szCs w:val="28"/>
    </w:rPr>
  </w:style>
  <w:style w:type="character" w:customStyle="1" w:styleId="42">
    <w:name w:val="标题 3 Char"/>
    <w:basedOn w:val="30"/>
    <w:link w:val="6"/>
    <w:qFormat/>
    <w:locked/>
    <w:uiPriority w:val="99"/>
    <w:rPr>
      <w:rFonts w:ascii="Cambria" w:hAnsi="Cambria" w:eastAsia="楷体_GB2312" w:cs="Times New Roman"/>
      <w:b/>
      <w:sz w:val="26"/>
      <w:szCs w:val="26"/>
    </w:rPr>
  </w:style>
  <w:style w:type="character" w:customStyle="1" w:styleId="43">
    <w:name w:val="标题 4 Char"/>
    <w:basedOn w:val="30"/>
    <w:link w:val="7"/>
    <w:qFormat/>
    <w:locked/>
    <w:uiPriority w:val="99"/>
    <w:rPr>
      <w:rFonts w:ascii="Arial" w:hAnsi="Arial" w:eastAsia="黑体" w:cs="Times New Roman"/>
      <w:b/>
      <w:kern w:val="2"/>
      <w:sz w:val="28"/>
    </w:rPr>
  </w:style>
  <w:style w:type="character" w:customStyle="1" w:styleId="44">
    <w:name w:val="标题 5 Char"/>
    <w:basedOn w:val="30"/>
    <w:link w:val="8"/>
    <w:qFormat/>
    <w:locked/>
    <w:uiPriority w:val="99"/>
    <w:rPr>
      <w:rFonts w:cs="Times New Roman"/>
      <w:b/>
      <w:kern w:val="2"/>
      <w:sz w:val="28"/>
    </w:rPr>
  </w:style>
  <w:style w:type="character" w:customStyle="1" w:styleId="45">
    <w:name w:val="标题 6 Char"/>
    <w:basedOn w:val="30"/>
    <w:link w:val="9"/>
    <w:qFormat/>
    <w:locked/>
    <w:uiPriority w:val="99"/>
    <w:rPr>
      <w:rFonts w:ascii="Arial" w:hAnsi="Arial" w:eastAsia="黑体" w:cs="Times New Roman"/>
      <w:b/>
      <w:kern w:val="2"/>
      <w:sz w:val="24"/>
    </w:rPr>
  </w:style>
  <w:style w:type="character" w:customStyle="1" w:styleId="46">
    <w:name w:val="标题 7 Char"/>
    <w:basedOn w:val="30"/>
    <w:link w:val="10"/>
    <w:qFormat/>
    <w:locked/>
    <w:uiPriority w:val="99"/>
    <w:rPr>
      <w:rFonts w:cs="Times New Roman"/>
      <w:b/>
      <w:kern w:val="2"/>
      <w:sz w:val="24"/>
    </w:rPr>
  </w:style>
  <w:style w:type="character" w:customStyle="1" w:styleId="47">
    <w:name w:val="标题 8 Char"/>
    <w:basedOn w:val="30"/>
    <w:link w:val="11"/>
    <w:qFormat/>
    <w:locked/>
    <w:uiPriority w:val="99"/>
    <w:rPr>
      <w:rFonts w:ascii="Arial" w:hAnsi="Arial" w:eastAsia="黑体" w:cs="Times New Roman"/>
      <w:kern w:val="2"/>
      <w:sz w:val="24"/>
    </w:rPr>
  </w:style>
  <w:style w:type="character" w:customStyle="1" w:styleId="48">
    <w:name w:val="标题 9 Char"/>
    <w:basedOn w:val="30"/>
    <w:link w:val="12"/>
    <w:qFormat/>
    <w:locked/>
    <w:uiPriority w:val="99"/>
    <w:rPr>
      <w:rFonts w:ascii="Arial" w:hAnsi="Arial" w:eastAsia="黑体" w:cs="Times New Roman"/>
      <w:kern w:val="2"/>
      <w:sz w:val="21"/>
    </w:rPr>
  </w:style>
  <w:style w:type="character" w:customStyle="1" w:styleId="49">
    <w:name w:val="批注文字 Char"/>
    <w:basedOn w:val="30"/>
    <w:link w:val="14"/>
    <w:qFormat/>
    <w:locked/>
    <w:uiPriority w:val="99"/>
    <w:rPr>
      <w:rFonts w:ascii="Times New Roman" w:hAnsi="Times New Roman" w:cs="Times New Roman"/>
      <w:sz w:val="20"/>
      <w:szCs w:val="20"/>
    </w:rPr>
  </w:style>
  <w:style w:type="character" w:customStyle="1" w:styleId="50">
    <w:name w:val="正文文本缩进 2 Char"/>
    <w:basedOn w:val="30"/>
    <w:link w:val="16"/>
    <w:qFormat/>
    <w:locked/>
    <w:uiPriority w:val="99"/>
    <w:rPr>
      <w:rFonts w:ascii="Times New Roman" w:hAnsi="Times New Roman" w:cs="Times New Roman"/>
      <w:sz w:val="20"/>
      <w:szCs w:val="20"/>
    </w:rPr>
  </w:style>
  <w:style w:type="character" w:customStyle="1" w:styleId="51">
    <w:name w:val="批注框文本 Char"/>
    <w:basedOn w:val="30"/>
    <w:link w:val="17"/>
    <w:semiHidden/>
    <w:qFormat/>
    <w:locked/>
    <w:uiPriority w:val="99"/>
    <w:rPr>
      <w:rFonts w:ascii="Times New Roman" w:hAnsi="Times New Roman" w:cs="Times New Roman"/>
      <w:sz w:val="2"/>
    </w:rPr>
  </w:style>
  <w:style w:type="character" w:customStyle="1" w:styleId="52">
    <w:name w:val="页脚 Char"/>
    <w:basedOn w:val="30"/>
    <w:link w:val="18"/>
    <w:qFormat/>
    <w:locked/>
    <w:uiPriority w:val="99"/>
    <w:rPr>
      <w:rFonts w:ascii="Times New Roman" w:hAnsi="Times New Roman" w:cs="Times New Roman"/>
      <w:sz w:val="18"/>
      <w:szCs w:val="18"/>
    </w:rPr>
  </w:style>
  <w:style w:type="character" w:customStyle="1" w:styleId="53">
    <w:name w:val="页眉 Char"/>
    <w:basedOn w:val="30"/>
    <w:link w:val="19"/>
    <w:qFormat/>
    <w:locked/>
    <w:uiPriority w:val="99"/>
    <w:rPr>
      <w:rFonts w:ascii="Times New Roman" w:hAnsi="Times New Roman" w:cs="Times New Roman"/>
      <w:sz w:val="18"/>
      <w:szCs w:val="18"/>
    </w:rPr>
  </w:style>
  <w:style w:type="paragraph" w:styleId="54">
    <w:name w:val="List Paragraph"/>
    <w:basedOn w:val="1"/>
    <w:qFormat/>
    <w:uiPriority w:val="34"/>
    <w:pPr>
      <w:ind w:firstLine="420" w:firstLineChars="200"/>
    </w:pPr>
  </w:style>
  <w:style w:type="paragraph" w:styleId="55">
    <w:name w:val="No Spacing"/>
    <w:link w:val="83"/>
    <w:qFormat/>
    <w:uiPriority w:val="99"/>
    <w:pPr>
      <w:widowControl w:val="0"/>
      <w:jc w:val="both"/>
    </w:pPr>
    <w:rPr>
      <w:rFonts w:ascii="Times New Roman" w:hAnsi="Times New Roman" w:eastAsia="仿宋_GB2312" w:cs="Times New Roman"/>
      <w:kern w:val="2"/>
      <w:sz w:val="32"/>
      <w:lang w:val="en-US" w:eastAsia="zh-CN" w:bidi="ar-SA"/>
    </w:rPr>
  </w:style>
  <w:style w:type="character" w:customStyle="1" w:styleId="56">
    <w:name w:val="副标题 Char"/>
    <w:basedOn w:val="30"/>
    <w:link w:val="21"/>
    <w:qFormat/>
    <w:locked/>
    <w:uiPriority w:val="99"/>
    <w:rPr>
      <w:rFonts w:ascii="Arial" w:hAnsi="Arial" w:cs="Times New Roman"/>
      <w:b/>
      <w:kern w:val="28"/>
      <w:sz w:val="32"/>
    </w:rPr>
  </w:style>
  <w:style w:type="character" w:customStyle="1" w:styleId="57">
    <w:name w:val="标题 Char"/>
    <w:basedOn w:val="30"/>
    <w:link w:val="25"/>
    <w:qFormat/>
    <w:locked/>
    <w:uiPriority w:val="99"/>
    <w:rPr>
      <w:rFonts w:ascii="方正小标宋_GBK" w:hAnsi="Arial" w:eastAsia="方正小标宋_GBK" w:cs="Times New Roman"/>
      <w:kern w:val="2"/>
      <w:sz w:val="44"/>
    </w:rPr>
  </w:style>
  <w:style w:type="character" w:customStyle="1" w:styleId="58">
    <w:name w:val="批注主题 Char1"/>
    <w:basedOn w:val="30"/>
    <w:link w:val="26"/>
    <w:semiHidden/>
    <w:qFormat/>
    <w:locked/>
    <w:uiPriority w:val="99"/>
    <w:rPr>
      <w:rFonts w:cs="Times New Roman"/>
      <w:b/>
      <w:kern w:val="2"/>
      <w:sz w:val="21"/>
    </w:rPr>
  </w:style>
  <w:style w:type="character" w:customStyle="1" w:styleId="59">
    <w:name w:val="批注主题 Char"/>
    <w:basedOn w:val="49"/>
    <w:qFormat/>
    <w:uiPriority w:val="99"/>
    <w:rPr>
      <w:b/>
      <w:bCs/>
      <w:kern w:val="2"/>
    </w:rPr>
  </w:style>
  <w:style w:type="character" w:customStyle="1" w:styleId="60">
    <w:name w:val="明显引用 Char"/>
    <w:basedOn w:val="30"/>
    <w:qFormat/>
    <w:uiPriority w:val="99"/>
    <w:rPr>
      <w:rFonts w:cs="Times New Roman"/>
      <w:b/>
      <w:i/>
      <w:sz w:val="24"/>
    </w:rPr>
  </w:style>
  <w:style w:type="character" w:customStyle="1" w:styleId="61">
    <w:name w:val="msosubtleemphasis"/>
    <w:basedOn w:val="30"/>
    <w:qFormat/>
    <w:uiPriority w:val="0"/>
    <w:rPr>
      <w:rFonts w:cs="Times New Roman"/>
      <w:i/>
      <w:color w:val="5A5A5A"/>
    </w:rPr>
  </w:style>
  <w:style w:type="character" w:customStyle="1" w:styleId="62">
    <w:name w:val="msosubtlereference"/>
    <w:basedOn w:val="30"/>
    <w:qFormat/>
    <w:uiPriority w:val="0"/>
    <w:rPr>
      <w:rFonts w:cs="Times New Roman"/>
      <w:sz w:val="24"/>
      <w:szCs w:val="24"/>
      <w:u w:val="single"/>
    </w:rPr>
  </w:style>
  <w:style w:type="character" w:customStyle="1" w:styleId="63">
    <w:name w:val="msointenseemphasis"/>
    <w:basedOn w:val="30"/>
    <w:qFormat/>
    <w:uiPriority w:val="0"/>
    <w:rPr>
      <w:rFonts w:cs="Times New Roman"/>
      <w:b/>
      <w:i/>
      <w:sz w:val="24"/>
      <w:szCs w:val="24"/>
      <w:u w:val="single"/>
    </w:rPr>
  </w:style>
  <w:style w:type="paragraph" w:customStyle="1" w:styleId="64">
    <w:name w:val="msonospacing"/>
    <w:basedOn w:val="1"/>
    <w:qFormat/>
    <w:uiPriority w:val="99"/>
    <w:pPr>
      <w:widowControl/>
      <w:spacing w:line="595" w:lineRule="exact"/>
      <w:ind w:firstLine="200" w:firstLineChars="200"/>
      <w:jc w:val="left"/>
    </w:pPr>
    <w:rPr>
      <w:rFonts w:ascii="Calibri" w:hAnsi="Calibri" w:eastAsia="仿宋_GB2312"/>
      <w:kern w:val="0"/>
      <w:szCs w:val="32"/>
    </w:rPr>
  </w:style>
  <w:style w:type="character" w:customStyle="1" w:styleId="65">
    <w:name w:val="msointensereference"/>
    <w:basedOn w:val="30"/>
    <w:qFormat/>
    <w:uiPriority w:val="0"/>
    <w:rPr>
      <w:rFonts w:cs="Times New Roman"/>
      <w:b/>
      <w:sz w:val="24"/>
      <w:u w:val="single"/>
    </w:rPr>
  </w:style>
  <w:style w:type="paragraph" w:customStyle="1" w:styleId="66">
    <w:name w:val="msolistparagraph"/>
    <w:basedOn w:val="1"/>
    <w:qFormat/>
    <w:uiPriority w:val="99"/>
    <w:pPr>
      <w:widowControl/>
      <w:spacing w:line="595" w:lineRule="exact"/>
      <w:ind w:left="720" w:firstLine="200" w:firstLineChars="200"/>
      <w:contextualSpacing/>
      <w:jc w:val="left"/>
    </w:pPr>
    <w:rPr>
      <w:rFonts w:ascii="Calibri" w:hAnsi="Calibri" w:eastAsia="仿宋_GB2312"/>
      <w:kern w:val="0"/>
      <w:szCs w:val="24"/>
    </w:rPr>
  </w:style>
  <w:style w:type="character" w:customStyle="1" w:styleId="67">
    <w:name w:val="纯文本 Char"/>
    <w:basedOn w:val="30"/>
    <w:qFormat/>
    <w:uiPriority w:val="0"/>
    <w:rPr>
      <w:rFonts w:ascii="宋体" w:hAnsi="Courier New" w:eastAsia="宋体" w:cs="宋体"/>
      <w:sz w:val="21"/>
      <w:szCs w:val="21"/>
    </w:rPr>
  </w:style>
  <w:style w:type="character" w:customStyle="1" w:styleId="68">
    <w:name w:val="msobooktitle"/>
    <w:basedOn w:val="30"/>
    <w:qFormat/>
    <w:uiPriority w:val="0"/>
    <w:rPr>
      <w:rFonts w:ascii="Cambria" w:hAnsi="Cambria" w:eastAsia="宋体" w:cs="Cambria"/>
      <w:b/>
      <w:i/>
      <w:sz w:val="24"/>
      <w:szCs w:val="24"/>
    </w:rPr>
  </w:style>
  <w:style w:type="character" w:customStyle="1" w:styleId="69">
    <w:name w:val="纯文本 Char1"/>
    <w:basedOn w:val="30"/>
    <w:qFormat/>
    <w:uiPriority w:val="0"/>
    <w:rPr>
      <w:rFonts w:ascii="宋体" w:hAnsi="Courier New" w:eastAsia="宋体" w:cs="Courier New"/>
      <w:sz w:val="21"/>
      <w:szCs w:val="21"/>
    </w:rPr>
  </w:style>
  <w:style w:type="character" w:customStyle="1" w:styleId="70">
    <w:name w:val="引用 Char"/>
    <w:basedOn w:val="30"/>
    <w:qFormat/>
    <w:uiPriority w:val="99"/>
    <w:rPr>
      <w:rFonts w:cs="Times New Roman"/>
      <w:i/>
      <w:sz w:val="24"/>
      <w:szCs w:val="24"/>
    </w:rPr>
  </w:style>
  <w:style w:type="character" w:customStyle="1" w:styleId="71">
    <w:name w:val="批注文字 Char1"/>
    <w:basedOn w:val="30"/>
    <w:qFormat/>
    <w:uiPriority w:val="0"/>
    <w:rPr>
      <w:rFonts w:ascii="仿宋_GB2312" w:eastAsia="仿宋_GB2312" w:cs="仿宋_GB2312"/>
      <w:sz w:val="24"/>
      <w:szCs w:val="24"/>
    </w:rPr>
  </w:style>
  <w:style w:type="paragraph" w:customStyle="1" w:styleId="72">
    <w:name w:val="无间隔1"/>
    <w:basedOn w:val="1"/>
    <w:link w:val="73"/>
    <w:qFormat/>
    <w:uiPriority w:val="0"/>
    <w:pPr>
      <w:widowControl/>
      <w:spacing w:line="595" w:lineRule="exact"/>
      <w:ind w:firstLine="200" w:firstLineChars="200"/>
      <w:jc w:val="left"/>
    </w:pPr>
    <w:rPr>
      <w:rFonts w:ascii="Calibri" w:hAnsi="Calibri" w:eastAsia="仿宋_GB2312"/>
      <w:kern w:val="0"/>
      <w:szCs w:val="32"/>
    </w:rPr>
  </w:style>
  <w:style w:type="character" w:customStyle="1" w:styleId="73">
    <w:name w:val="无间隔 Char"/>
    <w:basedOn w:val="30"/>
    <w:link w:val="72"/>
    <w:qFormat/>
    <w:locked/>
    <w:uiPriority w:val="0"/>
    <w:rPr>
      <w:rFonts w:ascii="Calibri" w:hAnsi="Calibri" w:eastAsia="仿宋_GB2312" w:cs="Times New Roman"/>
      <w:sz w:val="32"/>
      <w:szCs w:val="32"/>
    </w:rPr>
  </w:style>
  <w:style w:type="paragraph" w:customStyle="1" w:styleId="74">
    <w:name w:val="样式 仿宋 小四 居中"/>
    <w:basedOn w:val="1"/>
    <w:qFormat/>
    <w:uiPriority w:val="99"/>
    <w:pPr>
      <w:jc w:val="center"/>
    </w:pPr>
    <w:rPr>
      <w:rFonts w:ascii="仿宋" w:hAnsi="仿宋" w:eastAsia="仿宋"/>
      <w:sz w:val="24"/>
    </w:rPr>
  </w:style>
  <w:style w:type="character" w:customStyle="1" w:styleId="75">
    <w:name w:val="文档结构图 Char"/>
    <w:basedOn w:val="30"/>
    <w:link w:val="13"/>
    <w:semiHidden/>
    <w:qFormat/>
    <w:locked/>
    <w:uiPriority w:val="99"/>
    <w:rPr>
      <w:rFonts w:ascii="宋体" w:cs="Times New Roman"/>
      <w:kern w:val="2"/>
      <w:sz w:val="18"/>
      <w:szCs w:val="18"/>
    </w:rPr>
  </w:style>
  <w:style w:type="character" w:customStyle="1" w:styleId="76">
    <w:name w:val="日期 Char"/>
    <w:basedOn w:val="30"/>
    <w:link w:val="15"/>
    <w:semiHidden/>
    <w:qFormat/>
    <w:uiPriority w:val="99"/>
    <w:rPr>
      <w:szCs w:val="20"/>
    </w:rPr>
  </w:style>
  <w:style w:type="paragraph" w:customStyle="1" w:styleId="7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纯文本1"/>
    <w:basedOn w:val="1"/>
    <w:qFormat/>
    <w:uiPriority w:val="0"/>
    <w:rPr>
      <w:rFonts w:ascii="宋体" w:hAnsi="Courier New" w:cs="Courier New"/>
      <w:sz w:val="21"/>
      <w:szCs w:val="21"/>
    </w:rPr>
  </w:style>
  <w:style w:type="character" w:customStyle="1" w:styleId="79">
    <w:name w:val="已访问的超链接1"/>
    <w:basedOn w:val="30"/>
    <w:semiHidden/>
    <w:unhideWhenUsed/>
    <w:qFormat/>
    <w:uiPriority w:val="99"/>
    <w:rPr>
      <w:color w:val="954F72"/>
      <w:u w:val="single"/>
    </w:rPr>
  </w:style>
  <w:style w:type="character" w:customStyle="1" w:styleId="80">
    <w:name w:val="HTML 预设格式 Char"/>
    <w:basedOn w:val="30"/>
    <w:link w:val="23"/>
    <w:semiHidden/>
    <w:qFormat/>
    <w:uiPriority w:val="99"/>
    <w:rPr>
      <w:rFonts w:ascii="Courier New" w:hAnsi="Courier New" w:cs="Courier New"/>
      <w:kern w:val="2"/>
    </w:rPr>
  </w:style>
  <w:style w:type="paragraph" w:customStyle="1" w:styleId="81">
    <w:name w:val="正文文本1"/>
    <w:basedOn w:val="1"/>
    <w:next w:val="2"/>
    <w:link w:val="82"/>
    <w:semiHidden/>
    <w:unhideWhenUsed/>
    <w:qFormat/>
    <w:uiPriority w:val="99"/>
    <w:rPr>
      <w:rFonts w:ascii="Calibri" w:hAnsi="Calibri" w:eastAsia="仿宋_GB2312"/>
      <w:sz w:val="30"/>
      <w:szCs w:val="24"/>
    </w:rPr>
  </w:style>
  <w:style w:type="character" w:customStyle="1" w:styleId="82">
    <w:name w:val="正文文本 Char"/>
    <w:basedOn w:val="30"/>
    <w:link w:val="81"/>
    <w:semiHidden/>
    <w:qFormat/>
    <w:uiPriority w:val="99"/>
    <w:rPr>
      <w:rFonts w:ascii="Calibri" w:hAnsi="Calibri" w:eastAsia="仿宋_GB2312" w:cs="Times New Roman"/>
      <w:kern w:val="2"/>
      <w:sz w:val="30"/>
      <w:szCs w:val="24"/>
    </w:rPr>
  </w:style>
  <w:style w:type="character" w:customStyle="1" w:styleId="83">
    <w:name w:val="无间隔 Char1"/>
    <w:link w:val="55"/>
    <w:qFormat/>
    <w:locked/>
    <w:uiPriority w:val="99"/>
    <w:rPr>
      <w:rFonts w:eastAsia="仿宋_GB2312"/>
      <w:kern w:val="2"/>
      <w:sz w:val="32"/>
    </w:rPr>
  </w:style>
  <w:style w:type="paragraph" w:styleId="84">
    <w:name w:val="Quote"/>
    <w:basedOn w:val="1"/>
    <w:next w:val="1"/>
    <w:link w:val="113"/>
    <w:qFormat/>
    <w:uiPriority w:val="99"/>
    <w:pPr>
      <w:widowControl/>
      <w:spacing w:line="595" w:lineRule="exact"/>
      <w:ind w:firstLine="200" w:firstLineChars="200"/>
      <w:jc w:val="left"/>
    </w:pPr>
    <w:rPr>
      <w:rFonts w:ascii="等线" w:hAnsi="等线" w:eastAsia="等线"/>
      <w:i/>
      <w:kern w:val="0"/>
      <w:sz w:val="24"/>
      <w:szCs w:val="24"/>
    </w:rPr>
  </w:style>
  <w:style w:type="character" w:customStyle="1" w:styleId="85">
    <w:name w:val="引用 Char1"/>
    <w:basedOn w:val="30"/>
    <w:link w:val="84"/>
    <w:qFormat/>
    <w:uiPriority w:val="99"/>
    <w:rPr>
      <w:i/>
      <w:iCs/>
      <w:color w:val="000000" w:themeColor="text1"/>
      <w:kern w:val="2"/>
      <w:sz w:val="32"/>
      <w14:textFill>
        <w14:solidFill>
          <w14:schemeClr w14:val="tx1"/>
        </w14:solidFill>
      </w14:textFill>
    </w:rPr>
  </w:style>
  <w:style w:type="paragraph" w:styleId="86">
    <w:name w:val="Intense Quote"/>
    <w:basedOn w:val="1"/>
    <w:next w:val="1"/>
    <w:link w:val="114"/>
    <w:qFormat/>
    <w:uiPriority w:val="99"/>
    <w:pPr>
      <w:widowControl/>
      <w:spacing w:line="595" w:lineRule="exact"/>
      <w:ind w:left="720" w:right="720" w:firstLine="200" w:firstLineChars="200"/>
      <w:jc w:val="left"/>
    </w:pPr>
    <w:rPr>
      <w:rFonts w:ascii="等线" w:hAnsi="等线" w:eastAsia="等线"/>
      <w:b/>
      <w:i/>
      <w:kern w:val="0"/>
      <w:sz w:val="24"/>
    </w:rPr>
  </w:style>
  <w:style w:type="character" w:customStyle="1" w:styleId="87">
    <w:name w:val="明显引用 Char1"/>
    <w:basedOn w:val="30"/>
    <w:link w:val="86"/>
    <w:qFormat/>
    <w:uiPriority w:val="99"/>
    <w:rPr>
      <w:b/>
      <w:bCs/>
      <w:i/>
      <w:iCs/>
      <w:color w:val="4F81BD" w:themeColor="accent1"/>
      <w:kern w:val="2"/>
      <w:sz w:val="32"/>
      <w14:textFill>
        <w14:solidFill>
          <w14:schemeClr w14:val="accent1"/>
        </w14:solidFill>
      </w14:textFill>
    </w:rPr>
  </w:style>
  <w:style w:type="paragraph" w:customStyle="1" w:styleId="88">
    <w:name w:val="修订1"/>
    <w:semiHidden/>
    <w:qFormat/>
    <w:uiPriority w:val="99"/>
    <w:rPr>
      <w:rFonts w:ascii="等线" w:hAnsi="等线" w:eastAsia="仿宋_GB2312" w:cs="Times New Roman"/>
      <w:sz w:val="32"/>
      <w:szCs w:val="24"/>
      <w:lang w:val="en-US" w:eastAsia="zh-CN" w:bidi="ar-SA"/>
    </w:rPr>
  </w:style>
  <w:style w:type="paragraph" w:customStyle="1" w:styleId="89">
    <w:name w:val="TOC 标题1"/>
    <w:basedOn w:val="4"/>
    <w:next w:val="1"/>
    <w:qFormat/>
    <w:uiPriority w:val="39"/>
    <w:pPr>
      <w:keepNext/>
      <w:widowControl/>
      <w:spacing w:beforeAutospacing="0" w:afterAutospacing="0" w:line="595" w:lineRule="exact"/>
      <w:jc w:val="center"/>
      <w:outlineLvl w:val="9"/>
    </w:pPr>
    <w:rPr>
      <w:rFonts w:ascii="等线 Light" w:hAnsi="等线 Light" w:eastAsia="华文中宋"/>
      <w:bCs/>
      <w:kern w:val="32"/>
      <w:sz w:val="44"/>
      <w:szCs w:val="32"/>
    </w:rPr>
  </w:style>
  <w:style w:type="paragraph" w:customStyle="1" w:styleId="90">
    <w:name w:val="Char Char Char Char Char Char"/>
    <w:basedOn w:val="1"/>
    <w:qFormat/>
    <w:uiPriority w:val="99"/>
    <w:pPr>
      <w:widowControl/>
      <w:spacing w:line="595" w:lineRule="exact"/>
      <w:ind w:firstLine="200" w:firstLineChars="200"/>
      <w:jc w:val="left"/>
    </w:pPr>
    <w:rPr>
      <w:rFonts w:ascii="等线" w:hAnsi="等线" w:eastAsia="仿宋_GB2312"/>
      <w:kern w:val="0"/>
      <w:szCs w:val="24"/>
    </w:rPr>
  </w:style>
  <w:style w:type="paragraph" w:customStyle="1" w:styleId="91">
    <w:name w:val="目录 31"/>
    <w:basedOn w:val="1"/>
    <w:next w:val="1"/>
    <w:qFormat/>
    <w:uiPriority w:val="39"/>
    <w:pPr>
      <w:widowControl/>
      <w:tabs>
        <w:tab w:val="right" w:leader="dot" w:pos="8834"/>
      </w:tabs>
      <w:spacing w:after="100" w:line="276" w:lineRule="auto"/>
      <w:ind w:left="440"/>
      <w:jc w:val="left"/>
    </w:pPr>
    <w:rPr>
      <w:rFonts w:ascii="等线" w:hAnsi="等线" w:eastAsia="等线"/>
      <w:kern w:val="0"/>
      <w:sz w:val="22"/>
      <w:szCs w:val="22"/>
    </w:rPr>
  </w:style>
  <w:style w:type="paragraph" w:customStyle="1" w:styleId="92">
    <w:name w:val="目录 11"/>
    <w:basedOn w:val="1"/>
    <w:next w:val="1"/>
    <w:qFormat/>
    <w:uiPriority w:val="39"/>
    <w:pPr>
      <w:widowControl/>
      <w:spacing w:after="100" w:line="276" w:lineRule="auto"/>
      <w:jc w:val="left"/>
    </w:pPr>
    <w:rPr>
      <w:rFonts w:ascii="等线" w:hAnsi="等线" w:eastAsia="等线"/>
      <w:kern w:val="0"/>
      <w:sz w:val="22"/>
      <w:szCs w:val="22"/>
    </w:rPr>
  </w:style>
  <w:style w:type="paragraph" w:customStyle="1" w:styleId="93">
    <w:name w:val="目录 21"/>
    <w:basedOn w:val="1"/>
    <w:next w:val="1"/>
    <w:qFormat/>
    <w:uiPriority w:val="39"/>
    <w:pPr>
      <w:widowControl/>
      <w:spacing w:after="100" w:line="276" w:lineRule="auto"/>
      <w:ind w:left="220"/>
      <w:jc w:val="left"/>
    </w:pPr>
    <w:rPr>
      <w:rFonts w:ascii="等线" w:hAnsi="等线" w:eastAsia="等线"/>
      <w:kern w:val="0"/>
      <w:sz w:val="22"/>
      <w:szCs w:val="22"/>
    </w:rPr>
  </w:style>
  <w:style w:type="paragraph" w:customStyle="1" w:styleId="94">
    <w:name w:val="TOC 31"/>
    <w:basedOn w:val="1"/>
    <w:next w:val="1"/>
    <w:qFormat/>
    <w:uiPriority w:val="39"/>
    <w:pPr>
      <w:widowControl/>
      <w:tabs>
        <w:tab w:val="right" w:leader="dot" w:pos="8834"/>
      </w:tabs>
      <w:spacing w:after="100" w:line="276" w:lineRule="auto"/>
      <w:ind w:left="440"/>
      <w:jc w:val="left"/>
    </w:pPr>
    <w:rPr>
      <w:rFonts w:ascii="等线" w:hAnsi="等线" w:eastAsia="等线"/>
      <w:kern w:val="0"/>
      <w:sz w:val="22"/>
      <w:szCs w:val="22"/>
    </w:rPr>
  </w:style>
  <w:style w:type="paragraph" w:customStyle="1" w:styleId="95">
    <w:name w:val="TOC 11"/>
    <w:basedOn w:val="1"/>
    <w:next w:val="1"/>
    <w:qFormat/>
    <w:uiPriority w:val="39"/>
    <w:pPr>
      <w:widowControl/>
      <w:spacing w:after="100" w:line="276" w:lineRule="auto"/>
      <w:jc w:val="left"/>
    </w:pPr>
    <w:rPr>
      <w:rFonts w:ascii="等线" w:hAnsi="等线" w:eastAsia="等线"/>
      <w:kern w:val="0"/>
      <w:sz w:val="22"/>
      <w:szCs w:val="22"/>
    </w:rPr>
  </w:style>
  <w:style w:type="paragraph" w:customStyle="1" w:styleId="96">
    <w:name w:val="TOC 21"/>
    <w:basedOn w:val="1"/>
    <w:next w:val="1"/>
    <w:qFormat/>
    <w:uiPriority w:val="39"/>
    <w:pPr>
      <w:widowControl/>
      <w:spacing w:after="100" w:line="276" w:lineRule="auto"/>
      <w:ind w:left="220"/>
      <w:jc w:val="left"/>
    </w:pPr>
    <w:rPr>
      <w:rFonts w:ascii="等线" w:hAnsi="等线" w:eastAsia="等线"/>
      <w:kern w:val="0"/>
      <w:sz w:val="22"/>
      <w:szCs w:val="22"/>
    </w:rPr>
  </w:style>
  <w:style w:type="character" w:customStyle="1" w:styleId="97">
    <w:name w:val="15"/>
    <w:basedOn w:val="30"/>
    <w:qFormat/>
    <w:uiPriority w:val="0"/>
    <w:rPr>
      <w:rFonts w:hint="default" w:ascii="Times New Roman" w:hAnsi="Times New Roman" w:cs="Times New Roman"/>
      <w:b/>
      <w:bCs/>
      <w:color w:val="000000"/>
      <w:sz w:val="24"/>
      <w:szCs w:val="24"/>
    </w:rPr>
  </w:style>
  <w:style w:type="character" w:customStyle="1" w:styleId="98">
    <w:name w:val="页眉 字符"/>
    <w:qFormat/>
    <w:uiPriority w:val="99"/>
    <w:rPr>
      <w:sz w:val="18"/>
      <w:szCs w:val="18"/>
    </w:rPr>
  </w:style>
  <w:style w:type="character" w:customStyle="1" w:styleId="99">
    <w:name w:val="页脚 字符"/>
    <w:qFormat/>
    <w:uiPriority w:val="99"/>
    <w:rPr>
      <w:sz w:val="18"/>
      <w:szCs w:val="18"/>
    </w:rPr>
  </w:style>
  <w:style w:type="character" w:customStyle="1" w:styleId="100">
    <w:name w:val="标题 1 字符"/>
    <w:qFormat/>
    <w:uiPriority w:val="0"/>
    <w:rPr>
      <w:rFonts w:hint="eastAsia" w:ascii="等线 Light" w:hAnsi="等线 Light" w:eastAsia="华文中宋" w:cs="宋体"/>
      <w:b/>
      <w:bCs/>
      <w:kern w:val="32"/>
      <w:sz w:val="44"/>
      <w:szCs w:val="32"/>
    </w:rPr>
  </w:style>
  <w:style w:type="character" w:customStyle="1" w:styleId="101">
    <w:name w:val="标题 2 字符"/>
    <w:qFormat/>
    <w:uiPriority w:val="99"/>
    <w:rPr>
      <w:rFonts w:hint="eastAsia" w:ascii="等线 Light" w:hAnsi="等线 Light" w:eastAsia="黑体" w:cs="宋体"/>
      <w:bCs/>
      <w:iCs/>
      <w:kern w:val="0"/>
      <w:sz w:val="32"/>
      <w:szCs w:val="28"/>
    </w:rPr>
  </w:style>
  <w:style w:type="character" w:customStyle="1" w:styleId="102">
    <w:name w:val="标题 3 字符"/>
    <w:qFormat/>
    <w:uiPriority w:val="99"/>
    <w:rPr>
      <w:rFonts w:hint="eastAsia" w:ascii="等线 Light" w:hAnsi="等线 Light" w:eastAsia="楷体_GB2312" w:cs="宋体"/>
      <w:b/>
      <w:bCs/>
      <w:kern w:val="0"/>
      <w:sz w:val="32"/>
      <w:szCs w:val="26"/>
    </w:rPr>
  </w:style>
  <w:style w:type="character" w:customStyle="1" w:styleId="103">
    <w:name w:val="标题 4 字符"/>
    <w:semiHidden/>
    <w:qFormat/>
    <w:uiPriority w:val="99"/>
    <w:rPr>
      <w:rFonts w:hint="eastAsia" w:ascii="等线" w:hAnsi="等线" w:eastAsia="等线" w:cs="宋体"/>
      <w:b/>
      <w:bCs/>
      <w:kern w:val="0"/>
      <w:sz w:val="28"/>
      <w:szCs w:val="28"/>
    </w:rPr>
  </w:style>
  <w:style w:type="character" w:customStyle="1" w:styleId="104">
    <w:name w:val="标题 5 字符"/>
    <w:semiHidden/>
    <w:qFormat/>
    <w:uiPriority w:val="99"/>
    <w:rPr>
      <w:rFonts w:hint="eastAsia" w:ascii="等线" w:hAnsi="等线" w:eastAsia="等线" w:cs="宋体"/>
      <w:b/>
      <w:bCs/>
      <w:i/>
      <w:iCs/>
      <w:kern w:val="0"/>
      <w:sz w:val="26"/>
      <w:szCs w:val="26"/>
    </w:rPr>
  </w:style>
  <w:style w:type="character" w:customStyle="1" w:styleId="105">
    <w:name w:val="标题 6 字符"/>
    <w:semiHidden/>
    <w:qFormat/>
    <w:uiPriority w:val="99"/>
    <w:rPr>
      <w:rFonts w:hint="eastAsia" w:ascii="等线" w:hAnsi="等线" w:eastAsia="等线" w:cs="宋体"/>
      <w:b/>
      <w:bCs/>
      <w:kern w:val="0"/>
      <w:sz w:val="22"/>
    </w:rPr>
  </w:style>
  <w:style w:type="character" w:customStyle="1" w:styleId="106">
    <w:name w:val="标题 7 字符"/>
    <w:semiHidden/>
    <w:qFormat/>
    <w:uiPriority w:val="99"/>
    <w:rPr>
      <w:rFonts w:hint="eastAsia" w:ascii="等线" w:hAnsi="等线" w:eastAsia="等线" w:cs="Times New Roman"/>
      <w:kern w:val="0"/>
      <w:sz w:val="24"/>
      <w:szCs w:val="24"/>
    </w:rPr>
  </w:style>
  <w:style w:type="character" w:customStyle="1" w:styleId="107">
    <w:name w:val="标题 8 字符"/>
    <w:semiHidden/>
    <w:qFormat/>
    <w:uiPriority w:val="99"/>
    <w:rPr>
      <w:rFonts w:hint="eastAsia" w:ascii="等线" w:hAnsi="等线" w:eastAsia="等线" w:cs="Times New Roman"/>
      <w:i/>
      <w:iCs/>
      <w:kern w:val="0"/>
      <w:sz w:val="24"/>
      <w:szCs w:val="24"/>
    </w:rPr>
  </w:style>
  <w:style w:type="character" w:customStyle="1" w:styleId="108">
    <w:name w:val="标题 9 字符"/>
    <w:semiHidden/>
    <w:qFormat/>
    <w:uiPriority w:val="99"/>
    <w:rPr>
      <w:rFonts w:hint="eastAsia" w:ascii="等线 Light" w:hAnsi="等线 Light" w:eastAsia="等线 Light" w:cs="Times New Roman"/>
      <w:kern w:val="0"/>
      <w:sz w:val="22"/>
    </w:rPr>
  </w:style>
  <w:style w:type="character" w:customStyle="1" w:styleId="109">
    <w:name w:val="titlestyle"/>
    <w:qFormat/>
    <w:uiPriority w:val="0"/>
    <w:rPr>
      <w:rFonts w:hint="default" w:ascii="Times New Roman" w:hAnsi="Times New Roman" w:cs="Times New Roman"/>
    </w:rPr>
  </w:style>
  <w:style w:type="character" w:customStyle="1" w:styleId="110">
    <w:name w:val="标题 字符"/>
    <w:qFormat/>
    <w:uiPriority w:val="99"/>
    <w:rPr>
      <w:rFonts w:hint="eastAsia" w:ascii="等线 Light" w:hAnsi="等线 Light" w:eastAsia="等线 Light" w:cs="Times New Roman"/>
      <w:b/>
      <w:bCs/>
      <w:kern w:val="28"/>
      <w:sz w:val="32"/>
      <w:szCs w:val="32"/>
    </w:rPr>
  </w:style>
  <w:style w:type="character" w:customStyle="1" w:styleId="111">
    <w:name w:val="副标题 字符"/>
    <w:qFormat/>
    <w:uiPriority w:val="99"/>
    <w:rPr>
      <w:rFonts w:hint="eastAsia" w:ascii="等线 Light" w:hAnsi="等线 Light" w:eastAsia="等线 Light" w:cs="Times New Roman"/>
      <w:kern w:val="0"/>
      <w:sz w:val="24"/>
      <w:szCs w:val="24"/>
    </w:rPr>
  </w:style>
  <w:style w:type="character" w:customStyle="1" w:styleId="112">
    <w:name w:val="批注框文本 字符"/>
    <w:semiHidden/>
    <w:qFormat/>
    <w:uiPriority w:val="99"/>
    <w:rPr>
      <w:rFonts w:hint="eastAsia" w:ascii="等线" w:hAnsi="等线" w:eastAsia="仿宋_GB2312" w:cs="Times New Roman"/>
      <w:kern w:val="0"/>
      <w:sz w:val="18"/>
      <w:szCs w:val="18"/>
    </w:rPr>
  </w:style>
  <w:style w:type="character" w:customStyle="1" w:styleId="113">
    <w:name w:val="引用 Char2"/>
    <w:link w:val="84"/>
    <w:qFormat/>
    <w:locked/>
    <w:uiPriority w:val="99"/>
    <w:rPr>
      <w:rFonts w:ascii="等线" w:hAnsi="等线" w:eastAsia="等线"/>
      <w:i/>
      <w:sz w:val="24"/>
      <w:szCs w:val="24"/>
    </w:rPr>
  </w:style>
  <w:style w:type="character" w:customStyle="1" w:styleId="114">
    <w:name w:val="明显引用 Char2"/>
    <w:link w:val="86"/>
    <w:qFormat/>
    <w:locked/>
    <w:uiPriority w:val="99"/>
    <w:rPr>
      <w:rFonts w:ascii="等线" w:hAnsi="等线" w:eastAsia="等线"/>
      <w:b/>
      <w:i/>
      <w:sz w:val="24"/>
    </w:rPr>
  </w:style>
  <w:style w:type="character" w:customStyle="1" w:styleId="115">
    <w:name w:val="不明显强调1"/>
    <w:qFormat/>
    <w:uiPriority w:val="99"/>
    <w:rPr>
      <w:rFonts w:hint="default" w:ascii="Times New Roman" w:hAnsi="Times New Roman" w:cs="Times New Roman"/>
      <w:i/>
      <w:color w:val="5A5A5A"/>
    </w:rPr>
  </w:style>
  <w:style w:type="character" w:customStyle="1" w:styleId="116">
    <w:name w:val="明显强调1"/>
    <w:qFormat/>
    <w:uiPriority w:val="99"/>
    <w:rPr>
      <w:rFonts w:hint="default" w:ascii="Times New Roman" w:hAnsi="Times New Roman" w:cs="Times New Roman"/>
      <w:b/>
      <w:i/>
      <w:sz w:val="24"/>
      <w:szCs w:val="24"/>
      <w:u w:val="single"/>
    </w:rPr>
  </w:style>
  <w:style w:type="character" w:customStyle="1" w:styleId="117">
    <w:name w:val="不明显参考1"/>
    <w:qFormat/>
    <w:uiPriority w:val="99"/>
    <w:rPr>
      <w:rFonts w:hint="default" w:ascii="Times New Roman" w:hAnsi="Times New Roman" w:cs="Times New Roman"/>
      <w:sz w:val="24"/>
      <w:szCs w:val="24"/>
      <w:u w:val="single"/>
    </w:rPr>
  </w:style>
  <w:style w:type="character" w:customStyle="1" w:styleId="118">
    <w:name w:val="明显参考1"/>
    <w:qFormat/>
    <w:uiPriority w:val="99"/>
    <w:rPr>
      <w:rFonts w:hint="default" w:ascii="Times New Roman" w:hAnsi="Times New Roman" w:cs="Times New Roman"/>
      <w:b/>
      <w:sz w:val="24"/>
      <w:u w:val="single"/>
    </w:rPr>
  </w:style>
  <w:style w:type="character" w:customStyle="1" w:styleId="119">
    <w:name w:val="书籍标题1"/>
    <w:qFormat/>
    <w:uiPriority w:val="99"/>
    <w:rPr>
      <w:rFonts w:hint="eastAsia" w:ascii="等线 Light" w:hAnsi="等线 Light" w:eastAsia="等线 Light" w:cs="Times New Roman"/>
      <w:b/>
      <w:i/>
      <w:sz w:val="24"/>
      <w:szCs w:val="24"/>
    </w:rPr>
  </w:style>
  <w:style w:type="character" w:customStyle="1" w:styleId="120">
    <w:name w:val="批注文字 字符"/>
    <w:semiHidden/>
    <w:qFormat/>
    <w:uiPriority w:val="99"/>
    <w:rPr>
      <w:rFonts w:hint="default" w:ascii="Times New Roman" w:hAnsi="Times New Roman" w:eastAsia="宋体" w:cs="Times New Roman"/>
      <w:szCs w:val="20"/>
    </w:rPr>
  </w:style>
  <w:style w:type="character" w:customStyle="1" w:styleId="121">
    <w:name w:val="正文文本缩进 2 字符"/>
    <w:semiHidden/>
    <w:qFormat/>
    <w:uiPriority w:val="99"/>
    <w:rPr>
      <w:rFonts w:hint="eastAsia" w:ascii="宋体" w:hAnsi="宋体" w:eastAsia="宋体" w:cs="Times New Roman"/>
      <w:kern w:val="0"/>
      <w:sz w:val="24"/>
      <w:szCs w:val="24"/>
    </w:rPr>
  </w:style>
  <w:style w:type="character" w:customStyle="1" w:styleId="122">
    <w:name w:val="HTML 预设格式 Char1"/>
    <w:link w:val="23"/>
    <w:semiHidden/>
    <w:qFormat/>
    <w:locked/>
    <w:uiPriority w:val="99"/>
    <w:rPr>
      <w:rFonts w:ascii="宋体" w:hAnsi="宋体"/>
      <w:sz w:val="24"/>
      <w:szCs w:val="24"/>
    </w:rPr>
  </w:style>
  <w:style w:type="character" w:customStyle="1" w:styleId="123">
    <w:name w:val="NormalCharacter"/>
    <w:link w:val="1"/>
    <w:semiHidden/>
    <w:qFormat/>
    <w:uiPriority w:val="99"/>
    <w:rPr>
      <w:rFonts w:ascii="Times New Roman" w:hAnsi="Times New Roman" w:eastAsia="宋体" w:cs="Times New Roman"/>
      <w:kern w:val="2"/>
      <w:sz w:val="32"/>
      <w:lang w:val="en-US" w:eastAsia="zh-CN" w:bidi="ar-SA"/>
    </w:rPr>
  </w:style>
  <w:style w:type="character" w:customStyle="1" w:styleId="124">
    <w:name w:val="访问过的超链接1"/>
    <w:semiHidden/>
    <w:qFormat/>
    <w:uiPriority w:val="99"/>
    <w:rPr>
      <w:color w:val="800080"/>
      <w:u w:val="single"/>
    </w:rPr>
  </w:style>
  <w:style w:type="table" w:customStyle="1" w:styleId="125">
    <w:name w:val="网格型1"/>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2"/>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7">
    <w:name w:val="正文文本 Char1"/>
    <w:basedOn w:val="30"/>
    <w:link w:val="2"/>
    <w:semiHidden/>
    <w:qFormat/>
    <w:uiPriority w:val="99"/>
    <w:rPr>
      <w:kern w:val="2"/>
      <w:sz w:val="32"/>
    </w:rPr>
  </w:style>
  <w:style w:type="table" w:customStyle="1" w:styleId="128">
    <w:name w:val="网格型12"/>
    <w:basedOn w:val="28"/>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È¡À?"/>
    <w:basedOn w:val="1"/>
    <w:qFormat/>
    <w:uiPriority w:val="0"/>
    <w:pPr>
      <w:widowControl/>
      <w:overflowPunct w:val="0"/>
      <w:autoSpaceDE w:val="0"/>
      <w:autoSpaceDN w:val="0"/>
      <w:adjustRightInd w:val="0"/>
      <w:jc w:val="left"/>
      <w:textAlignment w:val="baseline"/>
    </w:pPr>
    <w:rPr>
      <w:kern w:val="0"/>
      <w:sz w:val="24"/>
    </w:rPr>
  </w:style>
  <w:style w:type="paragraph" w:customStyle="1" w:styleId="130">
    <w:name w:val=" Char Char1 Char Char1"/>
    <w:basedOn w:val="1"/>
    <w:qFormat/>
    <w:uiPriority w:val="0"/>
    <w:rPr>
      <w:kern w:val="0"/>
      <w:sz w:val="20"/>
      <w:szCs w:val="20"/>
    </w:rPr>
  </w:style>
  <w:style w:type="paragraph" w:customStyle="1" w:styleId="131">
    <w:name w:val="Body text|1"/>
    <w:basedOn w:val="1"/>
    <w:qFormat/>
    <w:uiPriority w:val="0"/>
    <w:pPr>
      <w:widowControl w:val="0"/>
      <w:shd w:val="clear" w:color="auto" w:fill="auto"/>
      <w:spacing w:after="600" w:line="413"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191</Words>
  <Characters>1094</Characters>
  <Lines>9</Lines>
  <Paragraphs>2</Paragraphs>
  <TotalTime>15</TotalTime>
  <ScaleCrop>false</ScaleCrop>
  <LinksUpToDate>false</LinksUpToDate>
  <CharactersWithSpaces>1283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2020-10-30T23:16:00Z</dcterms:created>
  <dc:creator>lenovo</dc:creator>
  <cp:lastModifiedBy>user</cp:lastModifiedBy>
  <cp:lastPrinted>2021-10-26T16:20:49Z</cp:lastPrinted>
  <dcterms:modified xsi:type="dcterms:W3CDTF">2021-10-26T16:49:35Z</dcterms:modified>
  <dc:title>川科计〔2018〕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